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after="156"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pacing w:after="156" w:line="240" w:lineRule="auto"/>
        <w:jc w:val="center"/>
        <w:textAlignment w:val="baseline"/>
        <w:rPr>
          <w:rStyle w:val="21"/>
          <w:rFonts w:hint="eastAsia" w:asciiTheme="minorEastAsia" w:hAnsiTheme="minorEastAsia" w:eastAsiaTheme="minorEastAsia" w:cstheme="minorEastAsia"/>
          <w:bCs/>
          <w:sz w:val="32"/>
          <w:szCs w:val="32"/>
        </w:rPr>
      </w:pPr>
    </w:p>
    <w:p>
      <w:pPr>
        <w:keepNext w:val="0"/>
        <w:keepLines w:val="0"/>
        <w:pageBreakBefore w:val="0"/>
        <w:kinsoku/>
        <w:wordWrap/>
        <w:overflowPunct/>
        <w:topLinePunct w:val="0"/>
        <w:autoSpaceDE/>
        <w:autoSpaceDN/>
        <w:bidi w:val="0"/>
        <w:spacing w:after="156" w:line="240" w:lineRule="auto"/>
        <w:jc w:val="center"/>
        <w:textAlignment w:val="baseline"/>
        <w:rPr>
          <w:rStyle w:val="21"/>
          <w:rFonts w:hint="eastAsia" w:asciiTheme="minorEastAsia" w:hAnsiTheme="minorEastAsia" w:eastAsiaTheme="minorEastAsia" w:cstheme="minorEastAsia"/>
          <w:bCs/>
          <w:sz w:val="32"/>
          <w:szCs w:val="32"/>
        </w:rPr>
      </w:pPr>
    </w:p>
    <w:p>
      <w:pPr>
        <w:spacing w:after="156" w:line="560" w:lineRule="exact"/>
        <w:jc w:val="center"/>
        <w:textAlignment w:val="baseline"/>
        <w:rPr>
          <w:rStyle w:val="21"/>
          <w:rFonts w:hint="eastAsia" w:ascii="方正小标宋简体" w:hAnsi="宋体" w:eastAsia="方正小标宋简体" w:cs="Times New Roman"/>
          <w:bCs/>
          <w:sz w:val="44"/>
          <w:szCs w:val="44"/>
          <w:lang w:val="en-US"/>
        </w:rPr>
      </w:pPr>
      <w:r>
        <w:rPr>
          <w:rStyle w:val="21"/>
          <w:rFonts w:hint="eastAsia" w:ascii="方正小标宋简体" w:hAnsi="宋体" w:eastAsia="方正小标宋简体" w:cs="Times New Roman"/>
          <w:bCs/>
          <w:sz w:val="44"/>
          <w:szCs w:val="44"/>
          <w:lang w:val="en-US"/>
        </w:rPr>
        <w:t>学位授权点建设年度报告</w:t>
      </w:r>
    </w:p>
    <w:p>
      <w:pPr>
        <w:spacing w:after="156" w:line="560" w:lineRule="exact"/>
        <w:jc w:val="center"/>
        <w:textAlignment w:val="baseline"/>
        <w:rPr>
          <w:rStyle w:val="21"/>
          <w:rFonts w:hint="eastAsia" w:ascii="方正小标宋简体" w:hAnsi="宋体" w:eastAsia="方正小标宋简体" w:cs="Times New Roman"/>
          <w:bCs/>
          <w:sz w:val="44"/>
          <w:szCs w:val="44"/>
          <w:lang w:val="en-US"/>
        </w:rPr>
      </w:pPr>
      <w:r>
        <w:rPr>
          <w:rStyle w:val="21"/>
          <w:rFonts w:hint="eastAsia" w:ascii="方正小标宋简体" w:hAnsi="宋体" w:eastAsia="方正小标宋简体" w:cs="Times New Roman"/>
          <w:bCs/>
          <w:sz w:val="44"/>
          <w:szCs w:val="44"/>
          <w:lang w:val="en-US"/>
        </w:rPr>
        <w:t>（2022年）</w:t>
      </w:r>
    </w:p>
    <w:p>
      <w:pPr>
        <w:keepNext w:val="0"/>
        <w:keepLines w:val="0"/>
        <w:pageBreakBefore w:val="0"/>
        <w:kinsoku/>
        <w:wordWrap/>
        <w:overflowPunct/>
        <w:topLinePunct w:val="0"/>
        <w:autoSpaceDE/>
        <w:autoSpaceDN/>
        <w:bidi w:val="0"/>
        <w:spacing w:after="156" w:line="240" w:lineRule="auto"/>
        <w:jc w:val="center"/>
        <w:textAlignment w:val="baseline"/>
        <w:rPr>
          <w:rStyle w:val="21"/>
          <w:rFonts w:hint="eastAsia" w:asciiTheme="minorEastAsia" w:hAnsiTheme="minorEastAsia" w:eastAsiaTheme="minorEastAsia" w:cstheme="minorEastAsia"/>
          <w:bCs/>
          <w:sz w:val="32"/>
          <w:szCs w:val="32"/>
        </w:rPr>
      </w:pPr>
    </w:p>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z w:val="32"/>
          <w:szCs w:val="32"/>
        </w:rPr>
      </w:pPr>
    </w:p>
    <w:tbl>
      <w:tblPr>
        <w:tblStyle w:val="12"/>
        <w:tblW w:w="5484" w:type="dxa"/>
        <w:jc w:val="center"/>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507"/>
        <w:gridCol w:w="3977"/>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PrEx>
        <w:trPr>
          <w:trHeight w:val="794" w:hRule="atLeast"/>
          <w:jc w:val="center"/>
        </w:trPr>
        <w:tc>
          <w:tcPr>
            <w:tcW w:w="1507" w:type="dxa"/>
            <w:vMerge w:val="restart"/>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pacing w:val="-10"/>
                <w:sz w:val="32"/>
                <w:szCs w:val="32"/>
                <w:lang w:val="en-US"/>
              </w:rPr>
            </w:pPr>
            <w:r>
              <w:rPr>
                <w:rStyle w:val="21"/>
                <w:rFonts w:hint="eastAsia" w:asciiTheme="minorEastAsia" w:hAnsiTheme="minorEastAsia" w:eastAsiaTheme="minorEastAsia" w:cstheme="minorEastAsia"/>
                <w:b/>
                <w:spacing w:val="-10"/>
                <w:sz w:val="32"/>
                <w:szCs w:val="32"/>
                <w:lang w:val="en-US"/>
              </w:rPr>
              <w:t>学院</w:t>
            </w:r>
          </w:p>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pacing w:val="-10"/>
                <w:sz w:val="32"/>
                <w:szCs w:val="32"/>
              </w:rPr>
            </w:pPr>
            <w:r>
              <w:rPr>
                <w:rStyle w:val="21"/>
                <w:rFonts w:hint="eastAsia" w:asciiTheme="minorEastAsia" w:hAnsiTheme="minorEastAsia" w:eastAsiaTheme="minorEastAsia" w:cstheme="minorEastAsia"/>
                <w:b/>
                <w:spacing w:val="-10"/>
                <w:sz w:val="32"/>
                <w:szCs w:val="32"/>
              </w:rPr>
              <w:t>（公章）</w:t>
            </w:r>
          </w:p>
        </w:tc>
        <w:tc>
          <w:tcPr>
            <w:tcW w:w="3977" w:type="dxa"/>
            <w:tcBorders>
              <w:top w:val="nil"/>
              <w:left w:val="single" w:color="000000" w:sz="4" w:space="0"/>
              <w:bottom w:val="single" w:color="000000" w:sz="4" w:space="0"/>
              <w:right w:val="nil"/>
            </w:tcBorders>
            <w:vAlign w:val="center"/>
          </w:tcPr>
          <w:p>
            <w:pPr>
              <w:keepNext w:val="0"/>
              <w:keepLines w:val="0"/>
              <w:pageBreakBefore w:val="0"/>
              <w:kinsoku/>
              <w:wordWrap/>
              <w:overflowPunct/>
              <w:topLinePunct w:val="0"/>
              <w:autoSpaceDE/>
              <w:autoSpaceDN/>
              <w:bidi w:val="0"/>
              <w:snapToGrid w:val="0"/>
              <w:spacing w:line="240" w:lineRule="auto"/>
              <w:ind w:firstLine="301" w:firstLineChars="100"/>
              <w:textAlignment w:val="baseline"/>
              <w:rPr>
                <w:rStyle w:val="21"/>
                <w:rFonts w:hint="eastAsia" w:asciiTheme="minorEastAsia" w:hAnsiTheme="minorEastAsia" w:eastAsiaTheme="minorEastAsia" w:cstheme="minorEastAsia"/>
                <w:b/>
                <w:spacing w:val="-10"/>
                <w:sz w:val="32"/>
                <w:szCs w:val="32"/>
                <w:lang w:val="en-US"/>
              </w:rPr>
            </w:pPr>
            <w:r>
              <w:rPr>
                <w:rStyle w:val="21"/>
                <w:rFonts w:hint="eastAsia" w:asciiTheme="minorEastAsia" w:hAnsiTheme="minorEastAsia" w:eastAsiaTheme="minorEastAsia" w:cstheme="minorEastAsia"/>
                <w:b/>
                <w:spacing w:val="-10"/>
                <w:sz w:val="32"/>
                <w:szCs w:val="32"/>
              </w:rPr>
              <w:t>名称：</w:t>
            </w:r>
            <w:r>
              <w:rPr>
                <w:rStyle w:val="21"/>
                <w:rFonts w:hint="eastAsia" w:asciiTheme="minorEastAsia" w:hAnsiTheme="minorEastAsia" w:eastAsiaTheme="minorEastAsia" w:cstheme="minorEastAsia"/>
                <w:b/>
                <w:spacing w:val="-10"/>
                <w:sz w:val="32"/>
                <w:szCs w:val="32"/>
                <w:lang w:val="en-US"/>
              </w:rPr>
              <w:t xml:space="preserve"> 教育学</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continue"/>
            <w:tcBorders>
              <w:top w:val="single" w:color="000000" w:sz="4" w:space="0"/>
              <w:left w:val="nil"/>
              <w:bottom w:val="nil"/>
              <w:right w:val="single" w:color="000000"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pacing w:val="-10"/>
                <w:sz w:val="32"/>
                <w:szCs w:val="32"/>
              </w:rPr>
            </w:pPr>
          </w:p>
        </w:tc>
        <w:tc>
          <w:tcPr>
            <w:tcW w:w="3977" w:type="dxa"/>
            <w:tcBorders>
              <w:top w:val="single" w:color="000000" w:sz="4" w:space="0"/>
              <w:left w:val="single" w:color="000000" w:sz="4" w:space="0"/>
              <w:bottom w:val="nil"/>
              <w:right w:val="nil"/>
            </w:tcBorders>
            <w:vAlign w:val="center"/>
          </w:tcPr>
          <w:p>
            <w:pPr>
              <w:keepNext w:val="0"/>
              <w:keepLines w:val="0"/>
              <w:pageBreakBefore w:val="0"/>
              <w:kinsoku/>
              <w:wordWrap/>
              <w:overflowPunct/>
              <w:topLinePunct w:val="0"/>
              <w:autoSpaceDE/>
              <w:autoSpaceDN/>
              <w:bidi w:val="0"/>
              <w:snapToGrid w:val="0"/>
              <w:spacing w:line="240" w:lineRule="auto"/>
              <w:ind w:firstLine="301" w:firstLineChars="100"/>
              <w:textAlignment w:val="baseline"/>
              <w:rPr>
                <w:rStyle w:val="21"/>
                <w:rFonts w:hint="eastAsia" w:asciiTheme="minorEastAsia" w:hAnsiTheme="minorEastAsia" w:eastAsiaTheme="minorEastAsia" w:cstheme="minorEastAsia"/>
                <w:b/>
                <w:spacing w:val="-10"/>
                <w:sz w:val="32"/>
                <w:szCs w:val="32"/>
                <w:lang w:val="en-US"/>
              </w:rPr>
            </w:pPr>
            <w:r>
              <w:rPr>
                <w:rStyle w:val="21"/>
                <w:rFonts w:hint="eastAsia" w:asciiTheme="minorEastAsia" w:hAnsiTheme="minorEastAsia" w:eastAsiaTheme="minorEastAsia" w:cstheme="minorEastAsia"/>
                <w:b/>
                <w:spacing w:val="-10"/>
                <w:sz w:val="32"/>
                <w:szCs w:val="32"/>
              </w:rPr>
              <w:t>代码：</w:t>
            </w:r>
            <w:r>
              <w:rPr>
                <w:rStyle w:val="21"/>
                <w:rFonts w:hint="eastAsia" w:asciiTheme="minorEastAsia" w:hAnsiTheme="minorEastAsia" w:eastAsiaTheme="minorEastAsia" w:cstheme="minorEastAsia"/>
                <w:b/>
                <w:spacing w:val="-10"/>
                <w:sz w:val="32"/>
                <w:szCs w:val="32"/>
                <w:lang w:val="en-US"/>
              </w:rPr>
              <w:t xml:space="preserve">  0401</w:t>
            </w:r>
          </w:p>
        </w:tc>
      </w:tr>
    </w:tbl>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pacing w:line="240" w:lineRule="auto"/>
        <w:jc w:val="center"/>
        <w:textAlignment w:val="baseline"/>
        <w:rPr>
          <w:rStyle w:val="21"/>
          <w:rFonts w:hint="eastAsia" w:asciiTheme="minorEastAsia" w:hAnsiTheme="minorEastAsia" w:eastAsiaTheme="minorEastAsia" w:cstheme="minorEastAsia"/>
          <w:b/>
          <w:sz w:val="32"/>
          <w:szCs w:val="32"/>
        </w:rPr>
      </w:pPr>
    </w:p>
    <w:p>
      <w:pPr>
        <w:pStyle w:val="22"/>
        <w:keepNext w:val="0"/>
        <w:keepLines w:val="0"/>
        <w:pageBreakBefore w:val="0"/>
        <w:widowControl/>
        <w:kinsoku/>
        <w:wordWrap/>
        <w:overflowPunct/>
        <w:topLinePunct w:val="0"/>
        <w:autoSpaceDE/>
        <w:autoSpaceDN/>
        <w:bidi w:val="0"/>
        <w:spacing w:line="240" w:lineRule="auto"/>
        <w:rPr>
          <w:rStyle w:val="21"/>
          <w:rFonts w:hint="eastAsia" w:asciiTheme="minorEastAsia" w:hAnsiTheme="minorEastAsia" w:eastAsiaTheme="minorEastAsia" w:cstheme="minorEastAsia"/>
          <w:color w:val="auto"/>
          <w:sz w:val="32"/>
          <w:szCs w:val="32"/>
        </w:rPr>
      </w:pPr>
    </w:p>
    <w:p>
      <w:pPr>
        <w:keepNext w:val="0"/>
        <w:keepLines w:val="0"/>
        <w:pageBreakBefore w:val="0"/>
        <w:kinsoku/>
        <w:wordWrap/>
        <w:overflowPunct/>
        <w:topLinePunct w:val="0"/>
        <w:autoSpaceDE/>
        <w:autoSpaceDN/>
        <w:bidi w:val="0"/>
        <w:spacing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pacing w:line="240" w:lineRule="auto"/>
        <w:jc w:val="center"/>
        <w:textAlignment w:val="baseline"/>
        <w:rPr>
          <w:rStyle w:val="21"/>
          <w:rFonts w:hint="eastAsia" w:asciiTheme="minorEastAsia" w:hAnsiTheme="minorEastAsia" w:eastAsiaTheme="minorEastAsia" w:cstheme="minorEastAsia"/>
          <w:sz w:val="32"/>
          <w:szCs w:val="32"/>
        </w:rPr>
        <w:sectPr>
          <w:footerReference r:id="rId3" w:type="default"/>
          <w:pgSz w:w="11906" w:h="16838"/>
          <w:pgMar w:top="1440" w:right="1800" w:bottom="1440" w:left="1800" w:header="851" w:footer="992" w:gutter="0"/>
          <w:pgNumType w:start="1"/>
          <w:cols w:space="425" w:num="1"/>
          <w:docGrid w:type="lines" w:linePitch="312" w:charSpace="0"/>
        </w:sectPr>
      </w:pPr>
      <w:r>
        <w:rPr>
          <w:rStyle w:val="21"/>
          <w:rFonts w:hint="eastAsia" w:asciiTheme="minorEastAsia" w:hAnsiTheme="minorEastAsia" w:eastAsiaTheme="minorEastAsia" w:cstheme="minorEastAsia"/>
          <w:b/>
          <w:sz w:val="32"/>
          <w:szCs w:val="32"/>
        </w:rPr>
        <w:t>202</w:t>
      </w:r>
      <w:r>
        <w:rPr>
          <w:rStyle w:val="21"/>
          <w:rFonts w:hint="eastAsia" w:asciiTheme="minorEastAsia" w:hAnsiTheme="minorEastAsia" w:eastAsiaTheme="minorEastAsia" w:cstheme="minorEastAsia"/>
          <w:b/>
          <w:sz w:val="32"/>
          <w:szCs w:val="32"/>
          <w:lang w:val="en-US"/>
        </w:rPr>
        <w:t>2</w:t>
      </w:r>
      <w:r>
        <w:rPr>
          <w:rStyle w:val="21"/>
          <w:rFonts w:hint="eastAsia" w:asciiTheme="minorEastAsia" w:hAnsiTheme="minorEastAsia" w:eastAsiaTheme="minorEastAsia" w:cstheme="minorEastAsia"/>
          <w:b/>
          <w:sz w:val="32"/>
          <w:szCs w:val="32"/>
        </w:rPr>
        <w:t xml:space="preserve"> 年</w:t>
      </w:r>
      <w:r>
        <w:rPr>
          <w:rStyle w:val="21"/>
          <w:rFonts w:hint="eastAsia" w:asciiTheme="minorEastAsia" w:hAnsiTheme="minorEastAsia" w:eastAsiaTheme="minorEastAsia" w:cstheme="minorEastAsia"/>
          <w:b/>
          <w:sz w:val="32"/>
          <w:szCs w:val="32"/>
          <w:lang w:val="en-US"/>
        </w:rPr>
        <w:t>12</w:t>
      </w:r>
      <w:r>
        <w:rPr>
          <w:rStyle w:val="21"/>
          <w:rFonts w:hint="eastAsia" w:asciiTheme="minorEastAsia" w:hAnsiTheme="minorEastAsia" w:eastAsiaTheme="minorEastAsia" w:cstheme="minorEastAsia"/>
          <w:b/>
          <w:sz w:val="32"/>
          <w:szCs w:val="32"/>
        </w:rPr>
        <w:t xml:space="preserve"> 月 </w:t>
      </w:r>
      <w:r>
        <w:rPr>
          <w:rStyle w:val="21"/>
          <w:rFonts w:hint="eastAsia" w:asciiTheme="minorEastAsia" w:hAnsiTheme="minorEastAsia" w:eastAsiaTheme="minorEastAsia" w:cstheme="minorEastAsia"/>
          <w:b/>
          <w:sz w:val="32"/>
          <w:szCs w:val="32"/>
          <w:lang w:val="en-US"/>
        </w:rPr>
        <w:t>12</w:t>
      </w:r>
      <w:r>
        <w:rPr>
          <w:rStyle w:val="21"/>
          <w:rFonts w:hint="eastAsia" w:asciiTheme="minorEastAsia" w:hAnsiTheme="minorEastAsia" w:eastAsiaTheme="minorEastAsia" w:cstheme="minorEastAsia"/>
          <w:b/>
          <w:sz w:val="32"/>
          <w:szCs w:val="32"/>
        </w:rPr>
        <w:t>日</w:t>
      </w:r>
    </w:p>
    <w:p>
      <w:pPr>
        <w:keepNext w:val="0"/>
        <w:keepLines w:val="0"/>
        <w:pageBreakBefore w:val="0"/>
        <w:widowControl/>
        <w:kinsoku/>
        <w:wordWrap/>
        <w:overflowPunct/>
        <w:topLinePunct w:val="0"/>
        <w:autoSpaceDE/>
        <w:autoSpaceDN/>
        <w:bidi w:val="0"/>
        <w:spacing w:line="240" w:lineRule="auto"/>
        <w:ind w:firstLine="640"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sz w:val="32"/>
          <w:szCs w:val="32"/>
        </w:rPr>
        <w:t xml:space="preserve">  </w:t>
      </w:r>
      <w:r>
        <w:rPr>
          <w:rStyle w:val="21"/>
          <w:rFonts w:hint="eastAsia" w:asciiTheme="minorEastAsia" w:hAnsiTheme="minorEastAsia" w:eastAsiaTheme="minorEastAsia" w:cstheme="minorEastAsia"/>
          <w:b/>
          <w:bCs/>
          <w:sz w:val="32"/>
          <w:szCs w:val="32"/>
        </w:rPr>
        <w:t>一、总体概况</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1.学位点</w:t>
      </w:r>
      <w:r>
        <w:rPr>
          <w:rFonts w:hint="eastAsia" w:asciiTheme="minorEastAsia" w:hAnsiTheme="minorEastAsia" w:eastAsiaTheme="minorEastAsia" w:cstheme="minorEastAsia"/>
          <w:b/>
          <w:bCs w:val="0"/>
          <w:sz w:val="32"/>
          <w:szCs w:val="32"/>
        </w:rPr>
        <w:t>基本情况</w:t>
      </w:r>
      <w:r>
        <w:rPr>
          <w:rFonts w:hint="eastAsia" w:asciiTheme="minorEastAsia" w:hAnsiTheme="minorEastAsia" w:eastAsiaTheme="minorEastAsia" w:cstheme="minorEastAsia"/>
          <w:bCs/>
          <w:sz w:val="32"/>
          <w:szCs w:val="32"/>
        </w:rPr>
        <w:t>：本</w:t>
      </w:r>
      <w:r>
        <w:rPr>
          <w:rFonts w:hint="eastAsia" w:asciiTheme="minorEastAsia" w:hAnsiTheme="minorEastAsia" w:eastAsiaTheme="minorEastAsia" w:cstheme="minorEastAsia"/>
          <w:bCs/>
          <w:sz w:val="32"/>
          <w:szCs w:val="32"/>
          <w:lang w:val="en-US" w:eastAsia="zh-CN"/>
        </w:rPr>
        <w:t>学位点</w:t>
      </w:r>
      <w:r>
        <w:rPr>
          <w:rFonts w:hint="eastAsia" w:asciiTheme="minorEastAsia" w:hAnsiTheme="minorEastAsia" w:eastAsiaTheme="minorEastAsia" w:cstheme="minorEastAsia"/>
          <w:bCs/>
          <w:sz w:val="32"/>
          <w:szCs w:val="32"/>
        </w:rPr>
        <w:t>于1986年开始与湖北大学联合招收研究生。2011年获批一级学科硕士授权点，2012年本学科被评为湖北省重点特色学科，在全国第三轮学科评估中排名第35位；2013和2014年在省级重点学科绩效评估中连续两次被评为优秀；2015年本学科领衔组建并获</w:t>
      </w:r>
      <w:r>
        <w:rPr>
          <w:rFonts w:hint="eastAsia" w:asciiTheme="minorEastAsia" w:hAnsiTheme="minorEastAsia" w:eastAsiaTheme="minorEastAsia" w:cstheme="minorEastAsia"/>
          <w:bCs/>
          <w:sz w:val="32"/>
          <w:szCs w:val="32"/>
          <w:lang w:val="en-US" w:eastAsia="zh-CN"/>
        </w:rPr>
        <w:t>批</w:t>
      </w:r>
      <w:r>
        <w:rPr>
          <w:rFonts w:hint="eastAsia" w:asciiTheme="minorEastAsia" w:hAnsiTheme="minorEastAsia" w:eastAsiaTheme="minorEastAsia" w:cstheme="minorEastAsia"/>
          <w:bCs/>
          <w:sz w:val="32"/>
          <w:szCs w:val="32"/>
        </w:rPr>
        <w:t>湖北省属高校优势特色学科群，并在全国第四轮学科评估中位列湖北省属高校第二名，2018年获批“湖北省国内一流学科建设学科”。</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2.学科方向：</w:t>
      </w:r>
      <w:r>
        <w:rPr>
          <w:rFonts w:hint="eastAsia" w:asciiTheme="minorEastAsia" w:hAnsiTheme="minorEastAsia" w:eastAsiaTheme="minorEastAsia" w:cstheme="minorEastAsia"/>
          <w:bCs/>
          <w:sz w:val="32"/>
          <w:szCs w:val="32"/>
        </w:rPr>
        <w:t>本学科形成了教育学原理、课程与教学论、教师教育、学前教育学、特殊教育学、高等教育学六个学科方向</w:t>
      </w:r>
      <w:r>
        <w:rPr>
          <w:rFonts w:hint="eastAsia" w:asciiTheme="minorEastAsia" w:hAnsiTheme="minorEastAsia" w:eastAsiaTheme="minorEastAsia" w:cstheme="minorEastAsia"/>
          <w:bCs/>
          <w:sz w:val="32"/>
          <w:szCs w:val="32"/>
          <w:lang w:eastAsia="zh-CN"/>
        </w:rPr>
        <w:t>，</w:t>
      </w:r>
      <w:r>
        <w:rPr>
          <w:rFonts w:hint="eastAsia" w:asciiTheme="minorEastAsia" w:hAnsiTheme="minorEastAsia" w:eastAsiaTheme="minorEastAsia" w:cstheme="minorEastAsia"/>
          <w:bCs/>
          <w:sz w:val="32"/>
          <w:szCs w:val="32"/>
        </w:rPr>
        <w:t>其中课程与教学论学科方向与学科教学专业领域涵盖了全校15个二级学院。</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bookmarkStart w:id="0" w:name="OLE_LINK3"/>
      <w:r>
        <w:rPr>
          <w:rFonts w:hint="eastAsia" w:asciiTheme="minorEastAsia" w:hAnsiTheme="minorEastAsia" w:eastAsiaTheme="minorEastAsia" w:cstheme="minorEastAsia"/>
          <w:b/>
          <w:bCs w:val="0"/>
          <w:sz w:val="32"/>
          <w:szCs w:val="32"/>
          <w:lang w:val="en-US" w:eastAsia="zh-CN"/>
        </w:rPr>
        <w:t>3.学科优势特色：</w:t>
      </w:r>
      <w:r>
        <w:rPr>
          <w:rFonts w:hint="eastAsia" w:asciiTheme="minorEastAsia" w:hAnsiTheme="minorEastAsia" w:eastAsiaTheme="minorEastAsia" w:cstheme="minorEastAsia"/>
          <w:bCs/>
          <w:sz w:val="32"/>
          <w:szCs w:val="32"/>
        </w:rPr>
        <w:t>（1）学科体系完整。本学科建有“师范教育”省级优势特色学科群，已形成了11个优势学科方向。（2）师资力量雄厚。学科现有专任教师99人，其中具有博士学位的49人、具有正高级专业技术职务的36人，湖北名师3人，享受国务院、省政府特殊津贴6人，教育部教指委委员、省跨世纪学科带头人、学术骨干和突贡中青年专家4人。（3）学科资源丰富。学科与地方教育行政主管部门和中小学建立了紧密联系，建有6个省级研究平台、4个省级实习实训基地和3个“教师教育改革实验区”。（4）人才培养模式新。形成了“3535教师职业素质培养体系”，即“从教信念和执教能力并重、学科专业教育和教师专业教育并重、理论教学和实践提高并重”的师范生人才培养新模式。</w:t>
      </w:r>
    </w:p>
    <w:bookmarkEnd w:id="0"/>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4.代表性学术人员：</w:t>
      </w:r>
      <w:r>
        <w:rPr>
          <w:rFonts w:hint="eastAsia" w:asciiTheme="minorEastAsia" w:hAnsiTheme="minorEastAsia" w:eastAsiaTheme="minorEastAsia" w:cstheme="minorEastAsia"/>
          <w:bCs/>
          <w:sz w:val="32"/>
          <w:szCs w:val="32"/>
        </w:rPr>
        <w:t>近五年来，本学科凝聚了一批优秀学科带头人和学术骨干，形成一支规模适度、结构合理、成果显著的人才队伍。代表性的学术人员有朱浩教授和付光槐教授。其中朱浩教授主持国家社科、教育部人文社科、湖北省教育厅人文社科、湖北省教育规划项目各1项，组建并主持省级科研团队1个，发表CSSCI源刊论文10余篇，学术专著1部。付光槐博士主持国家社科、教育部人文社科、湖北省教育科学规划、湖北省教育厅人文社科各1项，先后在《教育研究》《比较教育研究》等杂志发表论文30余篇，并入选第三批“湖北省青年英才开发计划”，获第八届高等学校科学研究优秀成果奖（人文社会科学）二等奖。</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5.代表性毕业生：</w:t>
      </w:r>
      <w:r>
        <w:rPr>
          <w:rFonts w:hint="eastAsia" w:asciiTheme="minorEastAsia" w:hAnsiTheme="minorEastAsia" w:eastAsiaTheme="minorEastAsia" w:cstheme="minorEastAsia"/>
          <w:bCs/>
          <w:sz w:val="32"/>
          <w:szCs w:val="32"/>
        </w:rPr>
        <w:t>本学科培养</w:t>
      </w:r>
      <w:r>
        <w:rPr>
          <w:rFonts w:hint="eastAsia" w:asciiTheme="minorEastAsia" w:hAnsiTheme="minorEastAsia" w:eastAsiaTheme="minorEastAsia" w:cstheme="minorEastAsia"/>
          <w:bCs/>
          <w:sz w:val="32"/>
          <w:szCs w:val="32"/>
          <w:lang w:val="en-US" w:eastAsia="zh-CN"/>
        </w:rPr>
        <w:t>了</w:t>
      </w:r>
      <w:r>
        <w:rPr>
          <w:rFonts w:hint="eastAsia" w:asciiTheme="minorEastAsia" w:hAnsiTheme="minorEastAsia" w:eastAsiaTheme="minorEastAsia" w:cstheme="minorEastAsia"/>
          <w:bCs/>
          <w:sz w:val="32"/>
          <w:szCs w:val="32"/>
        </w:rPr>
        <w:t>大量优秀毕业生。2018届教育学原理专业毕业生骆明丹赴马来亚大学攻读教育学博士，该生荣获湖北省第四届“长江学子”优秀大学毕业生，在校期间公开发表教育学类相关学术论文7篇，其中CSSCI扩展版1篇，被人大复印资料全文转载1篇</w:t>
      </w:r>
      <w:r>
        <w:rPr>
          <w:rFonts w:hint="eastAsia" w:asciiTheme="minorEastAsia" w:hAnsiTheme="minorEastAsia" w:eastAsiaTheme="minorEastAsia" w:cstheme="minorEastAsia"/>
          <w:bCs/>
          <w:sz w:val="32"/>
          <w:szCs w:val="32"/>
          <w:lang w:eastAsia="zh-CN"/>
        </w:rPr>
        <w:t>，</w:t>
      </w:r>
      <w:r>
        <w:rPr>
          <w:rFonts w:hint="eastAsia" w:asciiTheme="minorEastAsia" w:hAnsiTheme="minorEastAsia" w:eastAsiaTheme="minorEastAsia" w:cstheme="minorEastAsia"/>
          <w:bCs/>
          <w:sz w:val="32"/>
          <w:szCs w:val="32"/>
        </w:rPr>
        <w:t>硕士毕业后前往马来亚大学读博，继续求学深造。2020届毕业生田惠东荣获2020届优秀毕业生，在校期间发表学术论文2篇，其中SSCI论文1篇</w:t>
      </w:r>
      <w:r>
        <w:rPr>
          <w:rFonts w:hint="eastAsia" w:asciiTheme="minorEastAsia" w:hAnsiTheme="minorEastAsia" w:eastAsiaTheme="minorEastAsia" w:cstheme="minorEastAsia"/>
          <w:bCs/>
          <w:sz w:val="32"/>
          <w:szCs w:val="32"/>
          <w:lang w:eastAsia="zh-CN"/>
        </w:rPr>
        <w:t>，</w:t>
      </w:r>
      <w:r>
        <w:rPr>
          <w:rFonts w:hint="eastAsia" w:asciiTheme="minorEastAsia" w:hAnsiTheme="minorEastAsia" w:eastAsiaTheme="minorEastAsia" w:cstheme="minorEastAsia"/>
          <w:bCs/>
          <w:sz w:val="32"/>
          <w:szCs w:val="32"/>
          <w:lang w:val="en-US" w:eastAsia="zh-CN"/>
        </w:rPr>
        <w:t>硕士毕业后</w:t>
      </w:r>
      <w:r>
        <w:rPr>
          <w:rFonts w:hint="eastAsia" w:asciiTheme="minorEastAsia" w:hAnsiTheme="minorEastAsia" w:eastAsiaTheme="minorEastAsia" w:cstheme="minorEastAsia"/>
          <w:bCs/>
          <w:sz w:val="32"/>
          <w:szCs w:val="32"/>
        </w:rPr>
        <w:t>赴新疆师范大学攻读教育学博士。部分毕业研究生在大专院校担任专业教师和辅导员，部分在基础教育一线从事教育教学工作，也有部分在党政机关和企事业单位从业，都受到用人单位一致好评。</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6.代表性成就：</w:t>
      </w:r>
      <w:r>
        <w:rPr>
          <w:rFonts w:hint="eastAsia" w:asciiTheme="minorEastAsia" w:hAnsiTheme="minorEastAsia" w:eastAsiaTheme="minorEastAsia" w:cstheme="minorEastAsia"/>
          <w:bCs/>
          <w:sz w:val="32"/>
          <w:szCs w:val="32"/>
        </w:rPr>
        <w:t>近五年来，本学科团队成员围绕中小学教师专业发展、教育体制机制改革、基础教育课程与教学改革、学科教育改革和特殊群体教育等研究领域进行了深入研究，并产出一系列研究成果。其中，付光槐教授与刘义兵教授合作的文章《教师教育一体化发展的体制机制创新》荣获第八届高等学校科学研究优秀成果奖(人文社会科学)著作论文奖二等奖。该成果系统的探讨了教师教育一体化发展存在的问题及体制机制创新路径，对教师教育一体化改革提供了参考借鉴。</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7.人才培养目标：</w:t>
      </w:r>
      <w:r>
        <w:rPr>
          <w:rFonts w:hint="eastAsia" w:asciiTheme="minorEastAsia" w:hAnsiTheme="minorEastAsia" w:eastAsiaTheme="minorEastAsia" w:cstheme="minorEastAsia"/>
          <w:bCs/>
          <w:sz w:val="32"/>
          <w:szCs w:val="32"/>
        </w:rPr>
        <w:t>本学科以培养德智体美等方面全面发展，系统掌握教育学科的基础理论和专业知识，具有教育科研和教学实践能力的教育科研人员和优秀中小学教师为目标。</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8.生源情况：</w:t>
      </w:r>
      <w:r>
        <w:rPr>
          <w:rFonts w:hint="eastAsia" w:asciiTheme="minorEastAsia" w:hAnsiTheme="minorEastAsia" w:eastAsiaTheme="minorEastAsia" w:cstheme="minorEastAsia"/>
          <w:bCs/>
          <w:sz w:val="32"/>
          <w:szCs w:val="32"/>
        </w:rPr>
        <w:t>本学科生源主要集中于湖北、河北、江西、河南等地。201</w:t>
      </w:r>
      <w:r>
        <w:rPr>
          <w:rFonts w:hint="eastAsia" w:asciiTheme="minorEastAsia" w:hAnsiTheme="minorEastAsia" w:eastAsiaTheme="minorEastAsia" w:cstheme="minorEastAsia"/>
          <w:bCs/>
          <w:sz w:val="32"/>
          <w:szCs w:val="32"/>
          <w:lang w:val="en-US" w:eastAsia="zh-CN"/>
        </w:rPr>
        <w:t>8</w:t>
      </w:r>
      <w:r>
        <w:rPr>
          <w:rFonts w:hint="eastAsia" w:asciiTheme="minorEastAsia" w:hAnsiTheme="minorEastAsia" w:eastAsiaTheme="minorEastAsia" w:cstheme="minorEastAsia"/>
          <w:bCs/>
          <w:sz w:val="32"/>
          <w:szCs w:val="32"/>
        </w:rPr>
        <w:t>-202</w:t>
      </w:r>
      <w:r>
        <w:rPr>
          <w:rFonts w:hint="eastAsia" w:asciiTheme="minorEastAsia" w:hAnsiTheme="minorEastAsia" w:eastAsiaTheme="minorEastAsia" w:cstheme="minorEastAsia"/>
          <w:bCs/>
          <w:sz w:val="32"/>
          <w:szCs w:val="32"/>
          <w:lang w:val="en-US" w:eastAsia="zh-CN"/>
        </w:rPr>
        <w:t>2</w:t>
      </w:r>
      <w:r>
        <w:rPr>
          <w:rFonts w:hint="eastAsia" w:asciiTheme="minorEastAsia" w:hAnsiTheme="minorEastAsia" w:eastAsiaTheme="minorEastAsia" w:cstheme="minorEastAsia"/>
          <w:bCs/>
          <w:sz w:val="32"/>
          <w:szCs w:val="32"/>
        </w:rPr>
        <w:t>年，年均报名人数为200人以上，年均报录比达到2.8</w:t>
      </w:r>
      <w:r>
        <w:rPr>
          <w:rFonts w:hint="eastAsia" w:asciiTheme="minorEastAsia" w:hAnsiTheme="minorEastAsia" w:eastAsiaTheme="minorEastAsia" w:cstheme="minorEastAsia"/>
          <w:bCs/>
          <w:sz w:val="32"/>
          <w:szCs w:val="32"/>
          <w:lang w:val="en-US" w:eastAsia="zh-CN"/>
        </w:rPr>
        <w:t>3</w:t>
      </w:r>
      <w:r>
        <w:rPr>
          <w:rFonts w:hint="eastAsia" w:asciiTheme="minorEastAsia" w:hAnsiTheme="minorEastAsia" w:eastAsiaTheme="minorEastAsia" w:cstheme="minorEastAsia"/>
          <w:bCs/>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
          <w:bCs w:val="0"/>
          <w:sz w:val="32"/>
          <w:szCs w:val="32"/>
          <w:lang w:val="en-US" w:eastAsia="zh-CN"/>
        </w:rPr>
        <w:t>9.国内外影响：</w:t>
      </w:r>
      <w:r>
        <w:rPr>
          <w:rFonts w:hint="eastAsia" w:asciiTheme="minorEastAsia" w:hAnsiTheme="minorEastAsia" w:eastAsiaTheme="minorEastAsia" w:cstheme="minorEastAsia"/>
          <w:bCs/>
          <w:sz w:val="32"/>
          <w:szCs w:val="32"/>
        </w:rPr>
        <w:t>本学科长期瞄准国家和区域教育发展领域的重大战略需求，培育了一批优秀教育成果，提升了学科的学术影响力和社会影响力；积极组建区域教育现代化研究团队，充当本地区教育管理部门的“智囊团”；学科国际交流广泛，与英国奥斯特大学、新西兰怀阿里奇理工大学等在教学领域和科研领域都有着深入合作，学科的国际影响逐渐加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3" w:firstLineChars="200"/>
        <w:jc w:val="both"/>
        <w:textAlignment w:val="auto"/>
        <w:outlineLvl w:val="9"/>
        <w:rPr>
          <w:rFonts w:hint="eastAsia" w:ascii="宋体" w:hAnsi="宋体" w:eastAsia="宋体" w:cs="宋体"/>
          <w:bCs/>
          <w:sz w:val="32"/>
          <w:szCs w:val="32"/>
          <w:lang w:val="en-US" w:eastAsia="zh-CN"/>
        </w:rPr>
      </w:pPr>
      <w:r>
        <w:rPr>
          <w:rFonts w:hint="eastAsia" w:asciiTheme="minorEastAsia" w:hAnsiTheme="minorEastAsia" w:eastAsiaTheme="minorEastAsia" w:cstheme="minorEastAsia"/>
          <w:b/>
          <w:bCs w:val="0"/>
          <w:sz w:val="32"/>
          <w:szCs w:val="32"/>
          <w:lang w:val="en-US" w:eastAsia="zh-CN"/>
        </w:rPr>
        <w:t>10.研究生教育：</w:t>
      </w:r>
      <w:r>
        <w:rPr>
          <w:rFonts w:hint="eastAsia" w:asciiTheme="minorEastAsia" w:hAnsiTheme="minorEastAsia" w:eastAsiaTheme="minorEastAsia" w:cstheme="minorEastAsia"/>
          <w:bCs/>
          <w:sz w:val="32"/>
          <w:szCs w:val="32"/>
          <w:lang w:val="en-US" w:eastAsia="zh-CN"/>
        </w:rPr>
        <w:t>2022年教科院教育学硕研究生招生32人，在读研究生88人，毕业研究15人，硕士学位授予15人，研究生论文重合比检测和双盲评审通过率达到100%，所有毕业研究生在规定的日程内完成了学位论文答辩工作，毕业研究生就业率达90%</w:t>
      </w:r>
      <w:r>
        <w:rPr>
          <w:rFonts w:hint="eastAsia" w:asciiTheme="minorEastAsia" w:hAnsiTheme="minorEastAsia" w:eastAsiaTheme="minorEastAsia" w:cstheme="minorEastAsia"/>
          <w:bCs/>
          <w:color w:val="auto"/>
          <w:sz w:val="32"/>
          <w:szCs w:val="32"/>
          <w:lang w:val="en-US" w:eastAsia="zh-CN"/>
        </w:rPr>
        <w:t>。研究生</w:t>
      </w:r>
      <w:r>
        <w:rPr>
          <w:rFonts w:hint="eastAsia" w:ascii="宋体" w:hAnsi="宋体" w:eastAsia="宋体" w:cs="宋体"/>
          <w:bCs/>
          <w:sz w:val="32"/>
          <w:szCs w:val="32"/>
          <w:lang w:val="en-US" w:eastAsia="zh-CN"/>
        </w:rPr>
        <w:t>发表省级以上学术论文16篇（其中核心以上3篇），11篇论文被评为校级优秀硕士学位论文。研究生获批各级各类奖励50余项，其中省级以上获奖10项，获批研究生创新基金项目17项。</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二、研究生党建与思想政治教育工作</w:t>
      </w:r>
    </w:p>
    <w:p>
      <w:pPr>
        <w:pStyle w:val="2"/>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随着全面从严治党向基层的逐步延伸，发挥基层党建工作力量加强和改进研究生教风学风，全面贯彻落实立德树人根本任务在高校研究生思想政治教育工作中的重要意义愈发凸显。学校领导高度重视研究生党建与思想政治教育工作，建立了由学校党委领导、党政齐抓共管、各职能部门分工协作、党委研究生工作部组织协调、各学院党委具体实施的研究生党建与思想政治教育工作管理体制和运行机制，成立了研究生党建与思想政治工作领导小组，有党建工作专职人员从事研究生党建与思想政治工作。</w:t>
      </w:r>
    </w:p>
    <w:p>
      <w:pPr>
        <w:pStyle w:val="2"/>
        <w:keepNext w:val="0"/>
        <w:keepLines w:val="0"/>
        <w:pageBreakBefore w:val="0"/>
        <w:numPr>
          <w:ilvl w:val="0"/>
          <w:numId w:val="0"/>
        </w:numPr>
        <w:kinsoku/>
        <w:wordWrap/>
        <w:overflowPunct/>
        <w:topLinePunct w:val="0"/>
        <w:autoSpaceDE/>
        <w:autoSpaceDN/>
        <w:bidi w:val="0"/>
        <w:spacing w:line="240" w:lineRule="auto"/>
        <w:ind w:firstLine="643" w:firstLineChars="200"/>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1.领导高度重视，研究生党建工作规范有序</w:t>
      </w:r>
    </w:p>
    <w:p>
      <w:pPr>
        <w:pStyle w:val="2"/>
        <w:keepNext w:val="0"/>
        <w:keepLines w:val="0"/>
        <w:pageBreakBefore w:val="0"/>
        <w:numPr>
          <w:ilvl w:val="0"/>
          <w:numId w:val="0"/>
        </w:numPr>
        <w:kinsoku/>
        <w:wordWrap/>
        <w:overflowPunct/>
        <w:topLinePunct w:val="0"/>
        <w:autoSpaceDE/>
        <w:autoSpaceDN/>
        <w:bidi w:val="0"/>
        <w:spacing w:line="240" w:lineRule="auto"/>
        <w:ind w:firstLine="640" w:firstLineChars="200"/>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学院以党的政治建设为统领，高度重视研究生党建与思想政治教育工作，以党的政治建设为统领，积极开展党的二十大会议精神等的学习宣传，全年举行二级理论学习中心组学习8次，举办道德讲堂1次，和机关第三党支部举行联学活动1次，向学校投稿6篇，被市级以上媒体正面报道8篇，党建经验多次被湖北省和全国高校思政网宣传报道，师生员工积极参加志愿服务和文明校园创建活动。充分发挥学生党支部的先锋带头作用，全面落实从严治党相关要求，不断加强思想建设、组织建设和作风建设，为各项工作的顺利开展提供坚强政治保证。</w:t>
      </w:r>
    </w:p>
    <w:p>
      <w:pPr>
        <w:pStyle w:val="2"/>
        <w:keepNext w:val="0"/>
        <w:keepLines w:val="0"/>
        <w:pageBreakBefore w:val="0"/>
        <w:numPr>
          <w:ilvl w:val="0"/>
          <w:numId w:val="0"/>
        </w:numPr>
        <w:kinsoku/>
        <w:wordWrap/>
        <w:overflowPunct/>
        <w:topLinePunct w:val="0"/>
        <w:autoSpaceDE/>
        <w:autoSpaceDN/>
        <w:bidi w:val="0"/>
        <w:spacing w:line="240" w:lineRule="auto"/>
        <w:ind w:firstLine="643" w:firstLineChars="200"/>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2.加强队伍建设，齐抓共管开创新局面</w:t>
      </w:r>
    </w:p>
    <w:p>
      <w:pPr>
        <w:pStyle w:val="2"/>
        <w:keepNext w:val="0"/>
        <w:keepLines w:val="0"/>
        <w:pageBreakBefore w:val="0"/>
        <w:numPr>
          <w:ilvl w:val="0"/>
          <w:numId w:val="0"/>
        </w:numPr>
        <w:kinsoku/>
        <w:wordWrap/>
        <w:overflowPunct/>
        <w:topLinePunct w:val="0"/>
        <w:autoSpaceDE/>
        <w:autoSpaceDN/>
        <w:bidi w:val="0"/>
        <w:spacing w:line="240" w:lineRule="auto"/>
        <w:ind w:firstLine="640" w:firstLineChars="200"/>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kern w:val="2"/>
          <w:sz w:val="32"/>
          <w:szCs w:val="32"/>
          <w:lang w:val="en-US" w:eastAsia="zh-CN" w:bidi="ar-SA"/>
        </w:rPr>
        <w:t>加强研究生辅导员和研究生导师队伍建设，多方开展研究生党建和思想政治教育。研究生辅导员是研究生思想政治教育的直接引导人，选派研究生辅导员参加辅导员骨干培训，构建强有力的研究生党建与思想政治教育工作队伍，大幅提升了研究生党建整体工作水平。同时，根据《教育部关于全面落实研究生导师立德树人职责的意见》文件精神，</w:t>
      </w:r>
      <w:r>
        <w:rPr>
          <w:rFonts w:hint="eastAsia" w:asciiTheme="minorEastAsia" w:hAnsiTheme="minorEastAsia" w:eastAsiaTheme="minorEastAsia" w:cstheme="minorEastAsia"/>
          <w:bCs/>
          <w:sz w:val="32"/>
          <w:szCs w:val="32"/>
          <w:lang w:val="en-US" w:eastAsia="zh-CN"/>
        </w:rPr>
        <w:t>充分发挥导师育人作用，促进党建工作、培养工作和育人工作有机联动。号召导师担负起对研究生思想政治教育的首要责任，扎扎实实教书育人，对研究生思想上引导、学术上教导、心理上疏导、就业上指导，引领学生发展，助推研究生成长。倡议党员导师在“四导”工作中发挥先锋模范作用，并且从“四个一”做起，即走访一次学生宿舍、参加一次发展对象评价、进行一次发展对象谈话、指导一次院党校或研究生党支部活动，在参与研究生党建工作中创先争优。</w:t>
      </w:r>
    </w:p>
    <w:p>
      <w:pPr>
        <w:pStyle w:val="2"/>
        <w:keepNext w:val="0"/>
        <w:keepLines w:val="0"/>
        <w:pageBreakBefore w:val="0"/>
        <w:numPr>
          <w:ilvl w:val="0"/>
          <w:numId w:val="0"/>
        </w:numPr>
        <w:kinsoku/>
        <w:wordWrap/>
        <w:overflowPunct/>
        <w:topLinePunct w:val="0"/>
        <w:autoSpaceDE/>
        <w:autoSpaceDN/>
        <w:bidi w:val="0"/>
        <w:spacing w:line="240" w:lineRule="auto"/>
        <w:ind w:leftChars="200"/>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3.加强党团干部培训，提高党性修养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outlineLvl w:val="9"/>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高度重视研究生党建与思想政治教育工作，培训研究生团学干部和党员干部，拓宽他们的政策水平和视野，提升他们的综合素质和工作能力。调动研究生党员干部的学习热情和工作积极性，定期开办党校、团校，使党校团校成为研究生党团干部素质训练和党性修养训练的重要基地。各支部严格按要求召开支部主题党日活动、党员民主评议等活动。完成了各支部到期换届工作，全年转正教工党员1人、发展学生党员33人，培训学生入党积极分子123人（含研究生），教师党员按要求完成下沉社区等工作。2022年党建活动丰富多彩，育人富有成效。</w:t>
      </w:r>
    </w:p>
    <w:p>
      <w:pPr>
        <w:pStyle w:val="2"/>
        <w:keepNext w:val="0"/>
        <w:keepLines w:val="0"/>
        <w:pageBreakBefore w:val="0"/>
        <w:numPr>
          <w:ilvl w:val="0"/>
          <w:numId w:val="0"/>
        </w:numPr>
        <w:kinsoku/>
        <w:wordWrap/>
        <w:overflowPunct/>
        <w:topLinePunct w:val="0"/>
        <w:autoSpaceDE/>
        <w:autoSpaceDN/>
        <w:bidi w:val="0"/>
        <w:spacing w:line="240" w:lineRule="auto"/>
        <w:ind w:leftChars="200"/>
        <w:rPr>
          <w:rFonts w:hint="eastAsia" w:asciiTheme="minorEastAsia" w:hAnsiTheme="minorEastAsia" w:eastAsiaTheme="minorEastAsia" w:cstheme="minorEastAsia"/>
          <w:b/>
          <w:bCs w:val="0"/>
          <w:kern w:val="2"/>
          <w:sz w:val="32"/>
          <w:szCs w:val="32"/>
          <w:lang w:val="en-US" w:eastAsia="zh-CN" w:bidi="ar-SA"/>
        </w:rPr>
      </w:pPr>
      <w:r>
        <w:rPr>
          <w:rFonts w:hint="eastAsia" w:asciiTheme="minorEastAsia" w:hAnsiTheme="minorEastAsia" w:eastAsiaTheme="minorEastAsia" w:cstheme="minorEastAsia"/>
          <w:b/>
          <w:bCs w:val="0"/>
          <w:kern w:val="2"/>
          <w:sz w:val="32"/>
          <w:szCs w:val="32"/>
          <w:lang w:val="en-US" w:eastAsia="zh-CN" w:bidi="ar-SA"/>
        </w:rPr>
        <w:t>4.加强实践锻炼，解决研究生实际困难</w:t>
      </w:r>
    </w:p>
    <w:p>
      <w:pPr>
        <w:pStyle w:val="2"/>
        <w:keepNext w:val="0"/>
        <w:keepLines w:val="0"/>
        <w:pageBreakBefore w:val="0"/>
        <w:numPr>
          <w:ilvl w:val="0"/>
          <w:numId w:val="0"/>
        </w:numPr>
        <w:kinsoku/>
        <w:wordWrap/>
        <w:overflowPunct/>
        <w:topLinePunct w:val="0"/>
        <w:autoSpaceDE/>
        <w:autoSpaceDN/>
        <w:bidi w:val="0"/>
        <w:spacing w:line="240" w:lineRule="auto"/>
        <w:ind w:firstLine="640" w:firstLineChars="20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通过社会服务等实践活动锻炼，使研究生把学习知识与实践应用结合起来，把政治理论的素养与实际工作结合起来，充分了解了当前教育发展实际情况，切实增强了国情教育、党性教育，大大提高了办事能力。高度重视不同研究生个体的具体困难，安排研究生党员干部值班，为研究生解决心理、就业、生活等成长成才过程的具体问题，为实现及时沟通、及时解决的管理和服务提供了积极的平台，建立健全相关措施以解决研究生所面临的实际问题。围绕“传承科学精神，力践效国之行”主题，联合本科生党支部开展学术研讨、经验交流等活动，充分发挥研究生党员在锤炼党性做表率、立足科研做贡献的引领作用，教育和引导广大学生党员成为高尚科学精神的传承者、优良学术道德的践行者、良好学术风气的维护者和优秀学术成果的创造者。引领研究生自觉践行胸怀祖国、服务人民的爱国精神，勇攀高峰、敢为人先的创新精神，追求真理、严谨治学的求实精神。</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三、研究生培养相关制度及执行情况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Theme="minorEastAsia" w:hAnsiTheme="minorEastAsia" w:eastAsiaTheme="minorEastAsia" w:cstheme="minorEastAsia"/>
          <w:b/>
          <w:bCs w:val="0"/>
          <w:color w:val="auto"/>
          <w:kern w:val="0"/>
          <w:sz w:val="32"/>
          <w:szCs w:val="32"/>
          <w:lang w:val="en-US" w:eastAsia="zh-CN"/>
        </w:rPr>
      </w:pPr>
      <w:r>
        <w:rPr>
          <w:rFonts w:hint="eastAsia" w:asciiTheme="minorEastAsia" w:hAnsiTheme="minorEastAsia" w:eastAsiaTheme="minorEastAsia" w:cstheme="minorEastAsia"/>
          <w:b/>
          <w:bCs w:val="0"/>
          <w:color w:val="auto"/>
          <w:kern w:val="0"/>
          <w:sz w:val="32"/>
          <w:szCs w:val="32"/>
          <w:lang w:val="en-US" w:eastAsia="zh-CN"/>
        </w:rPr>
        <w:t>（一）当前研究生培养制度和执行情况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outlineLvl w:val="9"/>
        <w:rPr>
          <w:rFonts w:hint="eastAsia" w:ascii="宋体" w:hAnsi="宋体" w:eastAsia="宋体" w:cs="宋体"/>
          <w:bCs/>
          <w:sz w:val="32"/>
          <w:szCs w:val="32"/>
          <w:lang w:val="en-US" w:eastAsia="zh-CN"/>
        </w:rPr>
      </w:pPr>
      <w:r>
        <w:rPr>
          <w:rFonts w:hint="eastAsia" w:asciiTheme="minorEastAsia" w:hAnsiTheme="minorEastAsia" w:eastAsiaTheme="minorEastAsia" w:cstheme="minorEastAsia"/>
          <w:bCs/>
          <w:color w:val="000000"/>
          <w:kern w:val="2"/>
          <w:sz w:val="32"/>
          <w:szCs w:val="32"/>
          <w:lang w:val="en-US" w:eastAsia="zh-CN" w:bidi="ar-SA"/>
        </w:rPr>
        <w:t>研究生培养严格按照学位与研究生教育制度执行。研究生招生按照《湖北师范大学研究生招生工作管理办法》、《湖北师范大学研究生招生考试保密制度》等文件，规范招生过程，采取有力措施不断提高生源质量。研究生培养依据《湖北师范大学研究生教学管理规定》《湖北师范大学研究生教育创新计划实施方案》等文件，不断提升课程教学质量，形成持续改进的长效机制。根据学科以及社会发展的需要，不断完善硕士研究生人才培养方案。严格按照修订版研究生人才培养方案上课，教学运行手续规范齐全。硕士学位论文严格按照《湖北师范大学关于硕士研究生学位论文选题与开题报告的规定》、《湖北师范大学优秀硕士学位论文评选办法》等相关文件进行评审，切实把关，认真扎实做好相应工作，以高标准、严要求对待每篇学位论文。通过严把开题报告把关，认真进行中期检查，严把论文评审和答辩关，2022年研究生论文重合比检测和双盲评审通过率达到100%，全体毕业研究生在规定的日程内完成了学位论文答辩。不断加强导师队伍建设，2022年加强师德师风建设，开展科学道德与学风建设讲座活动3次。强化研究生学术训练，研究生定期参加学术论坛，学术训练效果良好。教师获批研究生教研项目2项、精品课程1项。研究生科研成果</w:t>
      </w:r>
      <w:r>
        <w:rPr>
          <w:rFonts w:hint="eastAsia" w:ascii="宋体" w:hAnsi="宋体" w:eastAsia="宋体" w:cs="宋体"/>
          <w:bCs/>
          <w:sz w:val="32"/>
          <w:szCs w:val="32"/>
          <w:lang w:val="en-US" w:eastAsia="zh-CN"/>
        </w:rPr>
        <w:t>丰硕，发表省级以上学术论文16篇（其中核心以上3篇），11篇论文被评为校级优秀硕士学位论文。研究生获批各级各类奖励50余项，其中省级以上获奖10项，获批研究生创新基金项目17项。</w:t>
      </w:r>
    </w:p>
    <w:p>
      <w:pPr>
        <w:pStyle w:val="2"/>
        <w:keepNext w:val="0"/>
        <w:keepLines w:val="0"/>
        <w:pageBreakBefore w:val="0"/>
        <w:kinsoku/>
        <w:wordWrap/>
        <w:overflowPunct/>
        <w:topLinePunct w:val="0"/>
        <w:autoSpaceDE/>
        <w:autoSpaceDN/>
        <w:bidi w:val="0"/>
        <w:spacing w:line="240" w:lineRule="auto"/>
        <w:ind w:left="0" w:leftChars="0" w:firstLine="321" w:firstLineChars="100"/>
        <w:jc w:val="both"/>
        <w:rPr>
          <w:rFonts w:hint="eastAsia" w:asciiTheme="minorEastAsia" w:hAnsiTheme="minorEastAsia" w:eastAsiaTheme="minorEastAsia" w:cstheme="minorEastAsia"/>
          <w:b/>
          <w:bCs w:val="0"/>
          <w:sz w:val="32"/>
          <w:szCs w:val="32"/>
          <w:lang w:val="en-US" w:eastAsia="zh-CN"/>
        </w:rPr>
      </w:pPr>
      <w:bookmarkStart w:id="1" w:name="_GoBack"/>
      <w:bookmarkEnd w:id="1"/>
      <w:r>
        <w:rPr>
          <w:rFonts w:hint="eastAsia" w:asciiTheme="minorEastAsia" w:hAnsiTheme="minorEastAsia" w:eastAsiaTheme="minorEastAsia" w:cstheme="minorEastAsia"/>
          <w:b/>
          <w:bCs w:val="0"/>
          <w:color w:val="auto"/>
          <w:kern w:val="0"/>
          <w:sz w:val="32"/>
          <w:szCs w:val="32"/>
          <w:lang w:val="en-US" w:eastAsia="zh-CN"/>
        </w:rPr>
        <w:t>（二）进一步加强研究生培养管理措施</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1.加强组织领导，建立工作机制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成立学院研究生培养工作领导小组，凝聚学院学术委员会和二级学科方向带头人力量，在学校研究生院工作领导小组的统一领导下，加强对本学院研究生培养管理工作领导。</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2.学习文件政策，提高质量意识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学院充分利用新生入学教育、导师培训及学院例会等载体，组织导师、学生及研究生教育管理人员认真学习、深刻领会、贯彻落实国家部署研究生教育综合改革工作出台的规范性文件精神。</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3.开展自检自查，增强自律意识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针对研究生的课程教学、论文开题与答辩、培养考核与评价及日常管理工作等研究生培养各个环节开展全面自查，并汇总自检自查情况形成总结报告。同时通过制度化的管理使研究生及导师不断增强自律意识。</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
          <w:bCs w:val="0"/>
          <w:sz w:val="32"/>
          <w:szCs w:val="32"/>
          <w:lang w:val="en-US" w:eastAsia="zh-CN"/>
        </w:rPr>
        <w:t>4.完善规章制度，促进规范管理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结合自查工作中发现的问题，梳理已有的相关规章制度，并针对培养管理过程中的薄弱环节进一步全面、系统、科学地做好整章建制工作，通过完善相关规章制度，促进研究生培养过程的规范管理。</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5.建立质量监控体系，强化培养过程管理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建立研究生教学质量监控体系，完善研究生教学检查制度，形成方向负责人听课制度。重视硕士学位论文开题及中期考核，建立培养过程预警机制。规范学位论文答辩环节，提高硕士学位授予质量。落实导师第一责任，发挥导师在培养过程中的主体作用。</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四、研究生教育改革情况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课程教学是研究生培养过程中的重要环节，不仅能有效促进研究生系统掌握学科基础理论和专门知识，而且有助于提升研究生的思辨能力和创新性思维。教育学学位点在课程教学改革与质量督导方面的创新做法有：</w:t>
      </w:r>
    </w:p>
    <w:p>
      <w:pPr>
        <w:keepNext w:val="0"/>
        <w:keepLines w:val="0"/>
        <w:pageBreakBefore w:val="0"/>
        <w:numPr>
          <w:ilvl w:val="0"/>
          <w:numId w:val="0"/>
        </w:numPr>
        <w:tabs>
          <w:tab w:val="left" w:pos="1113"/>
        </w:tabs>
        <w:kinsoku/>
        <w:wordWrap/>
        <w:overflowPunct/>
        <w:topLinePunct w:val="0"/>
        <w:autoSpaceDE/>
        <w:autoSpaceDN/>
        <w:bidi w:val="0"/>
        <w:spacing w:line="240" w:lineRule="auto"/>
        <w:ind w:firstLine="643" w:firstLineChars="200"/>
        <w:jc w:val="both"/>
        <w:rPr>
          <w:rFonts w:hint="eastAsia" w:asciiTheme="minorEastAsia" w:hAnsiTheme="minorEastAsia" w:eastAsiaTheme="minorEastAsia" w:cstheme="minorEastAsia"/>
          <w:b/>
          <w:bCs/>
          <w:color w:val="auto"/>
          <w:sz w:val="32"/>
          <w:szCs w:val="32"/>
          <w:shd w:val="clear" w:color="auto" w:fill="FFFFFF"/>
        </w:rPr>
      </w:pPr>
      <w:r>
        <w:rPr>
          <w:rFonts w:hint="eastAsia" w:asciiTheme="minorEastAsia" w:hAnsiTheme="minorEastAsia" w:eastAsiaTheme="minorEastAsia" w:cstheme="minorEastAsia"/>
          <w:b/>
          <w:bCs/>
          <w:color w:val="auto"/>
          <w:sz w:val="32"/>
          <w:szCs w:val="32"/>
          <w:shd w:val="clear" w:color="auto" w:fill="FFFFFF"/>
          <w:lang w:val="en-US" w:eastAsia="zh-CN"/>
        </w:rPr>
        <w:t>1.</w:t>
      </w:r>
      <w:r>
        <w:rPr>
          <w:rFonts w:hint="eastAsia" w:asciiTheme="minorEastAsia" w:hAnsiTheme="minorEastAsia" w:eastAsiaTheme="minorEastAsia" w:cstheme="minorEastAsia"/>
          <w:b/>
          <w:bCs/>
          <w:color w:val="auto"/>
          <w:sz w:val="32"/>
          <w:szCs w:val="32"/>
          <w:shd w:val="clear" w:color="auto" w:fill="FFFFFF"/>
        </w:rPr>
        <w:t>探索“四化”教学模式，切实提升育人实效</w:t>
      </w:r>
    </w:p>
    <w:p>
      <w:pPr>
        <w:keepNext w:val="0"/>
        <w:keepLines w:val="0"/>
        <w:pageBreakBefore w:val="0"/>
        <w:numPr>
          <w:ilvl w:val="0"/>
          <w:numId w:val="0"/>
        </w:numPr>
        <w:tabs>
          <w:tab w:val="left" w:pos="1113"/>
        </w:tabs>
        <w:kinsoku/>
        <w:wordWrap/>
        <w:overflowPunct/>
        <w:topLinePunct w:val="0"/>
        <w:autoSpaceDE/>
        <w:autoSpaceDN/>
        <w:bidi w:val="0"/>
        <w:spacing w:line="240" w:lineRule="auto"/>
        <w:ind w:firstLine="640" w:firstLineChars="200"/>
        <w:jc w:val="both"/>
        <w:rPr>
          <w:rFonts w:hint="eastAsia" w:asciiTheme="minorEastAsia" w:hAnsiTheme="minorEastAsia" w:eastAsiaTheme="minorEastAsia" w:cstheme="minorEastAsia"/>
          <w:b w:val="0"/>
          <w:bCs w:val="0"/>
          <w:color w:val="auto"/>
          <w:sz w:val="32"/>
          <w:szCs w:val="32"/>
          <w:shd w:val="clear" w:color="auto" w:fill="FFFFFF"/>
        </w:rPr>
      </w:pPr>
      <w:r>
        <w:rPr>
          <w:rFonts w:hint="eastAsia" w:asciiTheme="minorEastAsia" w:hAnsiTheme="minorEastAsia" w:eastAsiaTheme="minorEastAsia" w:cstheme="minorEastAsia"/>
          <w:b w:val="0"/>
          <w:bCs w:val="0"/>
          <w:color w:val="auto"/>
          <w:sz w:val="32"/>
          <w:szCs w:val="32"/>
          <w:shd w:val="clear" w:color="auto" w:fill="FFFFFF"/>
        </w:rPr>
        <w:t>扎实推进以“教师团队结构化、授课内容融合化、教学环节模块化、教学实践体验化”为主的“四化”硕士研究生课程与教学改革创新。组建专业基础课核心教学团队。为提高专业基础课的授课质量，我院分别组建了《教育学原理》、《教育科学研究方法》等课程教学团队，每个团队由4-6名高学历、高职称研究生导师组成，共同研讨课程方案，集体备课，既保证课程体系的完整性，又结合教师个人的研究专长，培养学生的兴趣，多元化团队授课方式受到学生一致好评。采用研讨式、案例式、参与式等</w:t>
      </w:r>
      <w:r>
        <w:rPr>
          <w:rFonts w:hint="eastAsia" w:asciiTheme="minorEastAsia" w:hAnsiTheme="minorEastAsia" w:eastAsiaTheme="minorEastAsia" w:cstheme="minorEastAsia"/>
          <w:b w:val="0"/>
          <w:bCs w:val="0"/>
          <w:color w:val="auto"/>
          <w:sz w:val="32"/>
          <w:szCs w:val="32"/>
          <w:shd w:val="clear" w:color="auto" w:fill="FFFFFF"/>
          <w:lang w:val="en-US" w:eastAsia="zh-CN"/>
        </w:rPr>
        <w:t>多</w:t>
      </w:r>
      <w:r>
        <w:rPr>
          <w:rFonts w:hint="eastAsia" w:asciiTheme="minorEastAsia" w:hAnsiTheme="minorEastAsia" w:eastAsiaTheme="minorEastAsia" w:cstheme="minorEastAsia"/>
          <w:b w:val="0"/>
          <w:bCs w:val="0"/>
          <w:color w:val="auto"/>
          <w:sz w:val="32"/>
          <w:szCs w:val="32"/>
          <w:shd w:val="clear" w:color="auto" w:fill="FFFFFF"/>
        </w:rPr>
        <w:t>样化教学模式</w:t>
      </w:r>
      <w:r>
        <w:rPr>
          <w:rFonts w:hint="eastAsia" w:asciiTheme="minorEastAsia" w:hAnsiTheme="minorEastAsia" w:eastAsiaTheme="minorEastAsia" w:cstheme="minorEastAsia"/>
          <w:b w:val="0"/>
          <w:bCs w:val="0"/>
          <w:color w:val="auto"/>
          <w:sz w:val="32"/>
          <w:szCs w:val="32"/>
          <w:shd w:val="clear" w:color="auto" w:fill="FFFFFF"/>
          <w:lang w:eastAsia="zh-CN"/>
        </w:rPr>
        <w:t>，</w:t>
      </w:r>
      <w:r>
        <w:rPr>
          <w:rFonts w:hint="eastAsia" w:asciiTheme="minorEastAsia" w:hAnsiTheme="minorEastAsia" w:eastAsiaTheme="minorEastAsia" w:cstheme="minorEastAsia"/>
          <w:b w:val="0"/>
          <w:bCs w:val="0"/>
          <w:color w:val="auto"/>
          <w:sz w:val="32"/>
          <w:szCs w:val="32"/>
          <w:shd w:val="clear" w:color="auto" w:fill="FFFFFF"/>
        </w:rPr>
        <w:t>鼓励学生大胆探索，主动探究，培养学生的创造力和批判性思维。</w:t>
      </w:r>
    </w:p>
    <w:p>
      <w:pPr>
        <w:keepNext w:val="0"/>
        <w:keepLines w:val="0"/>
        <w:pageBreakBefore w:val="0"/>
        <w:numPr>
          <w:ilvl w:val="0"/>
          <w:numId w:val="0"/>
        </w:numPr>
        <w:tabs>
          <w:tab w:val="left" w:pos="1113"/>
        </w:tabs>
        <w:kinsoku/>
        <w:wordWrap/>
        <w:overflowPunct/>
        <w:topLinePunct w:val="0"/>
        <w:autoSpaceDE/>
        <w:autoSpaceDN/>
        <w:bidi w:val="0"/>
        <w:spacing w:line="240" w:lineRule="auto"/>
        <w:ind w:leftChars="200"/>
        <w:jc w:val="both"/>
        <w:rPr>
          <w:rFonts w:hint="eastAsia" w:asciiTheme="minorEastAsia" w:hAnsiTheme="minorEastAsia" w:eastAsiaTheme="minorEastAsia" w:cstheme="minorEastAsia"/>
          <w:b/>
          <w:bCs/>
          <w:color w:val="auto"/>
          <w:sz w:val="32"/>
          <w:szCs w:val="32"/>
          <w:shd w:val="clear" w:color="auto" w:fill="FFFFFF"/>
        </w:rPr>
      </w:pPr>
      <w:r>
        <w:rPr>
          <w:rFonts w:hint="eastAsia" w:asciiTheme="minorEastAsia" w:hAnsiTheme="minorEastAsia" w:eastAsiaTheme="minorEastAsia" w:cstheme="minorEastAsia"/>
          <w:b/>
          <w:bCs/>
          <w:color w:val="auto"/>
          <w:sz w:val="32"/>
          <w:szCs w:val="32"/>
          <w:shd w:val="clear" w:color="auto" w:fill="FFFFFF"/>
          <w:lang w:val="en-US" w:eastAsia="zh-CN"/>
        </w:rPr>
        <w:t>2.</w:t>
      </w:r>
      <w:r>
        <w:rPr>
          <w:rFonts w:hint="eastAsia" w:asciiTheme="minorEastAsia" w:hAnsiTheme="minorEastAsia" w:eastAsiaTheme="minorEastAsia" w:cstheme="minorEastAsia"/>
          <w:b/>
          <w:bCs/>
          <w:color w:val="auto"/>
          <w:sz w:val="32"/>
          <w:szCs w:val="32"/>
          <w:shd w:val="clear" w:color="auto" w:fill="FFFFFF"/>
        </w:rPr>
        <w:t>开展“学术活动月”系列活动，切实提升学术氛围</w:t>
      </w:r>
    </w:p>
    <w:p>
      <w:pPr>
        <w:keepNext w:val="0"/>
        <w:keepLines w:val="0"/>
        <w:pageBreakBefore w:val="0"/>
        <w:numPr>
          <w:ilvl w:val="0"/>
          <w:numId w:val="0"/>
        </w:numPr>
        <w:tabs>
          <w:tab w:val="left" w:pos="1113"/>
        </w:tabs>
        <w:kinsoku/>
        <w:wordWrap/>
        <w:overflowPunct/>
        <w:topLinePunct w:val="0"/>
        <w:autoSpaceDE/>
        <w:autoSpaceDN/>
        <w:bidi w:val="0"/>
        <w:spacing w:line="240" w:lineRule="auto"/>
        <w:ind w:firstLine="640" w:firstLineChars="200"/>
        <w:jc w:val="both"/>
        <w:rPr>
          <w:rFonts w:hint="eastAsia" w:asciiTheme="minorEastAsia" w:hAnsiTheme="minorEastAsia" w:eastAsiaTheme="minorEastAsia" w:cstheme="minorEastAsia"/>
          <w:b w:val="0"/>
          <w:bCs w:val="0"/>
          <w:color w:val="auto"/>
          <w:sz w:val="32"/>
          <w:szCs w:val="32"/>
          <w:shd w:val="clear" w:color="auto" w:fill="FFFFFF"/>
        </w:rPr>
      </w:pPr>
      <w:r>
        <w:rPr>
          <w:rFonts w:hint="eastAsia" w:asciiTheme="minorEastAsia" w:hAnsiTheme="minorEastAsia" w:eastAsiaTheme="minorEastAsia" w:cstheme="minorEastAsia"/>
          <w:b w:val="0"/>
          <w:bCs w:val="0"/>
          <w:color w:val="auto"/>
          <w:sz w:val="32"/>
          <w:szCs w:val="32"/>
          <w:shd w:val="clear" w:color="auto" w:fill="FFFFFF"/>
        </w:rPr>
        <w:t>以研究生学术论坛</w:t>
      </w:r>
      <w:r>
        <w:rPr>
          <w:rFonts w:hint="eastAsia" w:asciiTheme="minorEastAsia" w:hAnsiTheme="minorEastAsia" w:eastAsiaTheme="minorEastAsia" w:cstheme="minorEastAsia"/>
          <w:b w:val="0"/>
          <w:bCs w:val="0"/>
          <w:color w:val="auto"/>
          <w:sz w:val="32"/>
          <w:szCs w:val="32"/>
          <w:shd w:val="clear" w:color="auto" w:fill="FFFFFF"/>
          <w:lang w:eastAsia="zh-CN"/>
        </w:rPr>
        <w:t>、</w:t>
      </w:r>
      <w:r>
        <w:rPr>
          <w:rFonts w:hint="eastAsia" w:asciiTheme="minorEastAsia" w:hAnsiTheme="minorEastAsia" w:eastAsiaTheme="minorEastAsia" w:cstheme="minorEastAsia"/>
          <w:b w:val="0"/>
          <w:bCs w:val="0"/>
          <w:color w:val="auto"/>
          <w:sz w:val="32"/>
          <w:szCs w:val="32"/>
          <w:shd w:val="clear" w:color="auto" w:fill="FFFFFF"/>
          <w:lang w:val="en-US" w:eastAsia="zh-CN"/>
        </w:rPr>
        <w:t>导师</w:t>
      </w:r>
      <w:r>
        <w:rPr>
          <w:rFonts w:hint="eastAsia" w:asciiTheme="minorEastAsia" w:hAnsiTheme="minorEastAsia" w:eastAsiaTheme="minorEastAsia" w:cstheme="minorEastAsia"/>
          <w:b w:val="0"/>
          <w:bCs w:val="0"/>
          <w:color w:val="auto"/>
          <w:sz w:val="32"/>
          <w:szCs w:val="32"/>
          <w:shd w:val="clear" w:color="auto" w:fill="FFFFFF"/>
        </w:rPr>
        <w:t>学术沙龙等活动为契机，搭建学术交流和沟通平台。为培养研究生问题意识和研究能力，在导师指导下开展课题研究，撰写学术论文，学院在每年三月开展“学术活动月”系列活动。学生就自己的课程论文、拟发表的期刊论文和学位论文进行汇报，同学和导师提出意见和建议，在师生相互切磋中，激发了研究生的学术兴趣，提升了研究生的研究能力。</w:t>
      </w:r>
      <w:r>
        <w:rPr>
          <w:rFonts w:hint="eastAsia" w:asciiTheme="minorEastAsia" w:hAnsiTheme="minorEastAsia" w:eastAsiaTheme="minorEastAsia" w:cstheme="minorEastAsia"/>
          <w:b w:val="0"/>
          <w:bCs w:val="0"/>
          <w:color w:val="auto"/>
          <w:sz w:val="32"/>
          <w:szCs w:val="32"/>
          <w:shd w:val="clear" w:color="auto" w:fill="FFFFFF"/>
          <w:lang w:val="en-US" w:eastAsia="zh-CN"/>
        </w:rPr>
        <w:t>同时</w:t>
      </w:r>
      <w:r>
        <w:rPr>
          <w:rFonts w:hint="eastAsia" w:asciiTheme="minorEastAsia" w:hAnsiTheme="minorEastAsia" w:eastAsiaTheme="minorEastAsia" w:cstheme="minorEastAsia"/>
          <w:b w:val="0"/>
          <w:bCs w:val="0"/>
          <w:color w:val="auto"/>
          <w:sz w:val="32"/>
          <w:szCs w:val="32"/>
          <w:shd w:val="clear" w:color="auto" w:fill="FFFFFF"/>
        </w:rPr>
        <w:t>树立学术典型，</w:t>
      </w:r>
      <w:r>
        <w:rPr>
          <w:rFonts w:hint="eastAsia" w:asciiTheme="minorEastAsia" w:hAnsiTheme="minorEastAsia" w:eastAsiaTheme="minorEastAsia" w:cstheme="minorEastAsia"/>
          <w:b w:val="0"/>
          <w:bCs w:val="0"/>
          <w:color w:val="auto"/>
          <w:sz w:val="32"/>
          <w:szCs w:val="32"/>
          <w:shd w:val="clear" w:color="auto" w:fill="FFFFFF"/>
          <w:lang w:val="en-US" w:eastAsia="zh-CN"/>
        </w:rPr>
        <w:t>将优秀研究生的</w:t>
      </w:r>
      <w:r>
        <w:rPr>
          <w:rFonts w:hint="eastAsia" w:asciiTheme="minorEastAsia" w:hAnsiTheme="minorEastAsia" w:eastAsiaTheme="minorEastAsia" w:cstheme="minorEastAsia"/>
          <w:b w:val="0"/>
          <w:bCs w:val="0"/>
          <w:color w:val="auto"/>
          <w:sz w:val="32"/>
          <w:szCs w:val="32"/>
          <w:shd w:val="clear" w:color="auto" w:fill="FFFFFF"/>
        </w:rPr>
        <w:t>学术成长和先进事迹整理成册并在全校广泛宣传。研究生学术活动的蓬勃开展，</w:t>
      </w:r>
      <w:r>
        <w:rPr>
          <w:rFonts w:hint="eastAsia" w:asciiTheme="minorEastAsia" w:hAnsiTheme="minorEastAsia" w:eastAsiaTheme="minorEastAsia" w:cstheme="minorEastAsia"/>
          <w:b w:val="0"/>
          <w:bCs w:val="0"/>
          <w:color w:val="auto"/>
          <w:sz w:val="32"/>
          <w:szCs w:val="32"/>
          <w:shd w:val="clear" w:color="auto" w:fill="FFFFFF"/>
          <w:lang w:val="en-US" w:eastAsia="zh-CN"/>
        </w:rPr>
        <w:t>能</w:t>
      </w:r>
      <w:r>
        <w:rPr>
          <w:rFonts w:hint="eastAsia" w:asciiTheme="minorEastAsia" w:hAnsiTheme="minorEastAsia" w:eastAsiaTheme="minorEastAsia" w:cstheme="minorEastAsia"/>
          <w:b w:val="0"/>
          <w:bCs w:val="0"/>
          <w:color w:val="auto"/>
          <w:sz w:val="32"/>
          <w:szCs w:val="32"/>
          <w:shd w:val="clear" w:color="auto" w:fill="FFFFFF"/>
        </w:rPr>
        <w:t>一定程度上带动和培养了一大批在科研上有潜力、有作为的优秀研究生，促进研究生学术成果的涌现和层次的提升。增加研究生学术科研兴趣，有效促进优良学风校风的建设。</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五、教育质量评估与分析</w:t>
      </w:r>
    </w:p>
    <w:p>
      <w:pPr>
        <w:keepNext w:val="0"/>
        <w:keepLines w:val="0"/>
        <w:pageBreakBefore w:val="0"/>
        <w:tabs>
          <w:tab w:val="left" w:pos="1113"/>
        </w:tabs>
        <w:kinsoku/>
        <w:wordWrap/>
        <w:overflowPunct/>
        <w:topLinePunct w:val="0"/>
        <w:autoSpaceDE/>
        <w:autoSpaceDN/>
        <w:bidi w:val="0"/>
        <w:spacing w:line="240" w:lineRule="auto"/>
        <w:ind w:firstLine="640" w:firstLineChars="200"/>
        <w:jc w:val="both"/>
        <w:rPr>
          <w:rFonts w:hint="eastAsia" w:asciiTheme="minorEastAsia" w:hAnsiTheme="minorEastAsia" w:eastAsiaTheme="minorEastAsia" w:cstheme="minorEastAsia"/>
          <w:color w:val="292929"/>
          <w:sz w:val="32"/>
          <w:szCs w:val="32"/>
          <w:shd w:val="clear" w:color="auto" w:fill="FFFFFF"/>
          <w:lang w:val="en-US" w:eastAsia="zh-CN"/>
        </w:rPr>
      </w:pPr>
      <w:r>
        <w:rPr>
          <w:rFonts w:hint="eastAsia" w:asciiTheme="minorEastAsia" w:hAnsiTheme="minorEastAsia" w:eastAsiaTheme="minorEastAsia" w:cstheme="minorEastAsia"/>
          <w:color w:val="292929"/>
          <w:sz w:val="32"/>
          <w:szCs w:val="32"/>
          <w:shd w:val="clear" w:color="auto" w:fill="FFFFFF"/>
          <w:lang w:val="en-US" w:eastAsia="zh-CN"/>
        </w:rPr>
        <w:t>教育学学科自我评估为良好，具体表现在学科建设、师资队伍、科研研究、人才培养和社会服务等方面。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（一）学科建设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Cs/>
          <w:kern w:val="2"/>
          <w:sz w:val="32"/>
          <w:szCs w:val="32"/>
          <w:lang w:val="en-US" w:eastAsia="zh-CN" w:bidi="ar-SA"/>
        </w:rPr>
        <w:t>充分发挥学科带头人作用，将整个学科成员带动起来，增强学科凝聚力，加强团队合作，合理使用外部资源。整合学科优势特色，提高人才培养质量，促进高水平科研成果产出。2022年学科经费使用合理、管理规范、学科建设富有成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lang w:val="en-US" w:eastAsia="zh-CN"/>
        </w:rPr>
      </w:pPr>
      <w:r>
        <w:rPr>
          <w:rFonts w:hint="eastAsia" w:asciiTheme="minorEastAsia" w:hAnsiTheme="minorEastAsia" w:eastAsiaTheme="minorEastAsia" w:cstheme="minorEastAsia"/>
          <w:b/>
          <w:bCs w:val="0"/>
          <w:sz w:val="32"/>
          <w:szCs w:val="32"/>
          <w:lang w:val="en-US" w:eastAsia="zh-CN"/>
        </w:rPr>
        <w:t>（二）队伍建设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outlineLvl w:val="9"/>
        <w:rPr>
          <w:rFonts w:hint="eastAsia" w:ascii="宋体" w:hAnsi="宋体" w:eastAsia="宋体" w:cs="宋体"/>
          <w:bCs/>
          <w:sz w:val="32"/>
          <w:szCs w:val="32"/>
          <w:lang w:val="en-US" w:eastAsia="zh-CN"/>
        </w:rPr>
      </w:pPr>
      <w:r>
        <w:rPr>
          <w:rFonts w:hint="eastAsia" w:asciiTheme="minorEastAsia" w:hAnsiTheme="minorEastAsia" w:eastAsiaTheme="minorEastAsia" w:cstheme="minorEastAsia"/>
          <w:bCs/>
          <w:kern w:val="2"/>
          <w:sz w:val="32"/>
          <w:szCs w:val="32"/>
          <w:lang w:val="en-US" w:eastAsia="zh-CN" w:bidi="ar-SA"/>
        </w:rPr>
        <w:t>学院狠抓人才队伍建设，</w:t>
      </w:r>
      <w:r>
        <w:rPr>
          <w:rFonts w:hint="eastAsia" w:ascii="宋体" w:hAnsi="宋体" w:eastAsia="宋体" w:cs="宋体"/>
          <w:bCs/>
          <w:sz w:val="32"/>
          <w:szCs w:val="32"/>
          <w:lang w:val="en-US" w:eastAsia="zh-CN"/>
        </w:rPr>
        <w:t xml:space="preserve">2022年学院教师招聘计划合理，不断拓宽人才引进渠道。严把人才引进关口，全年组织高层次人才试讲5场（10人），参与人事处组织线上招聘会3场，上会通过博士7人，成功引进博士3人（均为三层次引进，其中博士副教授1人）；申报楚天学者“楚天学子”1人、黄石市五一劳动奖章1人。学院高度重视师资队伍建设，新增教授1名、副教授3人、讲师3人。积极开展师德师风教育活动，全年教职工无师德师风问题。教师获批湖北省访学项目1项、公派川大外语学习项目1项，教师自费参加专业进修1人。教师被评为校师德标兵1人、黄石市管理服务育人先进个人1人。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Theme="minorEastAsia" w:hAnsiTheme="minorEastAsia" w:eastAsiaTheme="minorEastAsia" w:cstheme="minorEastAsia"/>
          <w:bCs/>
          <w:kern w:val="2"/>
          <w:sz w:val="32"/>
          <w:szCs w:val="32"/>
          <w:lang w:val="en-US" w:eastAsia="zh-CN" w:bidi="ar-SA"/>
        </w:rPr>
      </w:pPr>
    </w:p>
    <w:p>
      <w:pPr>
        <w:pStyle w:val="5"/>
        <w:keepNext w:val="0"/>
        <w:keepLines w:val="0"/>
        <w:pageBreakBefore w:val="0"/>
        <w:numPr>
          <w:ilvl w:val="0"/>
          <w:numId w:val="0"/>
        </w:numPr>
        <w:kinsoku/>
        <w:wordWrap/>
        <w:overflowPunct/>
        <w:topLinePunct w:val="0"/>
        <w:autoSpaceDE/>
        <w:autoSpaceDN/>
        <w:bidi w:val="0"/>
        <w:adjustRightInd w:val="0"/>
        <w:snapToGrid w:val="0"/>
        <w:spacing w:line="240" w:lineRule="auto"/>
        <w:ind w:leftChars="0"/>
        <w:rPr>
          <w:rFonts w:hint="eastAsia" w:asciiTheme="minorEastAsia" w:hAnsiTheme="minorEastAsia" w:eastAsiaTheme="minorEastAsia" w:cstheme="minorEastAsia"/>
          <w:b/>
          <w:bCs w:val="0"/>
          <w:color w:val="auto"/>
          <w:sz w:val="32"/>
          <w:szCs w:val="32"/>
          <w:lang w:val="en-US" w:eastAsia="zh-CN"/>
        </w:rPr>
      </w:pPr>
      <w:r>
        <w:rPr>
          <w:rFonts w:hint="eastAsia" w:asciiTheme="minorEastAsia" w:hAnsiTheme="minorEastAsia" w:eastAsiaTheme="minorEastAsia" w:cstheme="minorEastAsia"/>
          <w:b/>
          <w:bCs w:val="0"/>
          <w:color w:val="auto"/>
          <w:sz w:val="32"/>
          <w:szCs w:val="32"/>
          <w:lang w:val="en-US" w:eastAsia="zh-CN"/>
        </w:rPr>
        <w:t>（三）人才培养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color w:val="0000FF"/>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走内涵式发展道路，服务需求、提高质量是本学位授权点一直遵循的发展主题，加强学风建设、构建培养平台、完善奖助体系是本学位授权点构建研究生保障体系的重中之重，各环节均有完善的质量保障措施。</w:t>
      </w:r>
      <w:r>
        <w:rPr>
          <w:rFonts w:hint="eastAsia" w:asciiTheme="minorEastAsia" w:hAnsiTheme="minorEastAsia" w:eastAsiaTheme="minorEastAsia" w:cstheme="minorEastAsia"/>
          <w:bCs/>
          <w:color w:val="auto"/>
          <w:kern w:val="2"/>
          <w:sz w:val="32"/>
          <w:szCs w:val="32"/>
          <w:lang w:val="en-US" w:eastAsia="zh-CN" w:bidi="ar-SA"/>
        </w:rPr>
        <w:t>2022年教科院学硕研究生招生32人，毕业研究生15人。毕业生就业</w:t>
      </w:r>
      <w:r>
        <w:rPr>
          <w:rFonts w:hint="eastAsia" w:asciiTheme="minorEastAsia" w:hAnsiTheme="minorEastAsia" w:eastAsiaTheme="minorEastAsia" w:cstheme="minorEastAsia"/>
          <w:bCs/>
          <w:kern w:val="2"/>
          <w:sz w:val="32"/>
          <w:szCs w:val="32"/>
          <w:lang w:val="en-US" w:eastAsia="zh-CN" w:bidi="ar-SA"/>
        </w:rPr>
        <w:t>率高于90%。大部分毕业生在基础教育领域就业，从事教育教学和管理工作。教育硕士以“服务基础教育发展，培养卓越教育硕士”为理念，着力培养“掌握现代教育理论、具有较强的教育教学实践和研究能力的高素质的中小学教师和教育教学管理人员”，不断充实培养保障条件，优化培养过程，形成了“全程•融合•协同”培养模式和“四环递进式”实践教学体系，人才培养质量有保证，培养成效好。研究生论文重合比检测和双盲评审通过率达到100%，所有毕业研究生在规定的日程内完成了学位论文答辩工作</w:t>
      </w:r>
      <w:r>
        <w:rPr>
          <w:rFonts w:hint="eastAsia" w:asciiTheme="minorEastAsia" w:hAnsiTheme="minorEastAsia" w:eastAsiaTheme="minorEastAsia" w:cstheme="minorEastAsia"/>
          <w:bCs/>
          <w:color w:val="0000FF"/>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（四）科学研究</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2022年度教师获批教育部规划项目1项、省级项目6项、厅级项目2项、市级项目11项，我院教师作为主要成员参与获批国家级项目2项、省级项目1项、市级项目1项，纵向科研到账经费64.75万；出版学术专著2部、参编1部；发表学术论文31篇，其中高水平论文18篇；获地方学协会优秀论文成果奖一等奖1项。签署横向项目11项，到账经费172.35万；新增产学研合作平台5项。校级科研创新团队“湖北省区域教育现代化研究”评估验收优秀；校级科研平台“湖北省区域教育现代化研究与评估中心”评估验收优秀。与此同时，我院积极开展学术交流活动，邀请校外专家开展学术讲座11场；组织召开院级专题科研会议6次；组织教师及优秀研究生外出（线上）交流与学习4人次，不断拓宽学生视野，提高教师专业水平。</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Theme="minorEastAsia" w:hAnsiTheme="minorEastAsia" w:eastAsiaTheme="minorEastAsia" w:cstheme="minorEastAsia"/>
          <w:b/>
          <w:bCs w:val="0"/>
          <w:color w:val="auto"/>
          <w:sz w:val="32"/>
          <w:szCs w:val="32"/>
          <w:lang w:val="en-US" w:eastAsia="zh-CN"/>
        </w:rPr>
      </w:pPr>
      <w:r>
        <w:rPr>
          <w:rFonts w:hint="eastAsia" w:asciiTheme="minorEastAsia" w:hAnsiTheme="minorEastAsia" w:eastAsiaTheme="minorEastAsia" w:cstheme="minorEastAsia"/>
          <w:b/>
          <w:bCs w:val="0"/>
          <w:color w:val="auto"/>
          <w:sz w:val="32"/>
          <w:szCs w:val="32"/>
          <w:lang w:val="en-US" w:eastAsia="zh-CN"/>
        </w:rPr>
        <w:t>（五）社会服务</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分别与黄石市教育科学研究院、黄石市教育局、共青团黄石市委、黄石市残疾人联合会及黄石市飞云模具钢有限责任公司签定产学研合作协议，建立产学研合作平台，以实现资源共享，共同发展。学院与阳新县教育局、天柱县教育和科技局等教育行政部门及阳新县韦源口镇中心完全小学紧密合作，大力加强实践基地建设，进行实践教学改革，构建全程-融合-协同的人才培养模式。学院积极组建基础教育领域智库，不断提升学科服务地方经济社会发展能力，充分发挥学科在服务教育事业中的作用。同时，与黄石市家庭教育研究会签定黄石市青年家长家庭教育训练营（第三期）项目。另外，我院研究团队先后与山西易学教育科技有限公司、黄石市明德教育咨询有限公司、大冶市晟佰棠教育科学及有限公司、北京心天地科技有限公司、湖北北纬绿斑文化发展有限公司、广州琪原新材料股份有限公司等机构签订合作协议，获得广泛的社会赞誉。</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六、改进措施</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lang w:val="en-US"/>
        </w:rPr>
      </w:pPr>
      <w:r>
        <w:rPr>
          <w:rStyle w:val="21"/>
          <w:rFonts w:hint="eastAsia" w:asciiTheme="minorEastAsia" w:hAnsiTheme="minorEastAsia" w:eastAsiaTheme="minorEastAsia" w:cstheme="minorEastAsia"/>
          <w:b/>
          <w:bCs/>
          <w:sz w:val="32"/>
          <w:szCs w:val="32"/>
          <w:lang w:val="en-US"/>
        </w:rPr>
        <w:t>（一）改进措施</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
          <w:bCs w:val="0"/>
          <w:color w:val="auto"/>
          <w:kern w:val="0"/>
          <w:sz w:val="32"/>
          <w:szCs w:val="32"/>
          <w:lang w:val="en-US" w:eastAsia="zh-CN" w:bidi="ar-SA"/>
        </w:rPr>
      </w:pPr>
      <w:r>
        <w:rPr>
          <w:rFonts w:hint="eastAsia" w:asciiTheme="minorEastAsia" w:hAnsiTheme="minorEastAsia" w:eastAsiaTheme="minorEastAsia" w:cstheme="minorEastAsia"/>
          <w:b/>
          <w:bCs w:val="0"/>
          <w:color w:val="auto"/>
          <w:kern w:val="0"/>
          <w:sz w:val="32"/>
          <w:szCs w:val="32"/>
          <w:lang w:val="en-US" w:eastAsia="zh-CN" w:bidi="ar-SA"/>
        </w:rPr>
        <w:t>1.进一步强化过程管理，强化培养效果反馈</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color w:val="auto"/>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建立课程设计、教学效果的评价反馈机制，定期向教育学硕士研究生征询课程方案意见，收集对教学效果评价的反馈信息。建立毕业生定期寻访制度，了解毕业生工作状况及对教育学硕士研究生培养的意见与建议。</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
          <w:bCs w:val="0"/>
          <w:color w:val="auto"/>
          <w:kern w:val="0"/>
          <w:sz w:val="32"/>
          <w:szCs w:val="32"/>
          <w:lang w:val="en-US" w:eastAsia="zh-CN" w:bidi="ar-SA"/>
        </w:rPr>
      </w:pPr>
      <w:r>
        <w:rPr>
          <w:rFonts w:hint="eastAsia" w:asciiTheme="minorEastAsia" w:hAnsiTheme="minorEastAsia" w:eastAsiaTheme="minorEastAsia" w:cstheme="minorEastAsia"/>
          <w:b/>
          <w:bCs w:val="0"/>
          <w:color w:val="auto"/>
          <w:kern w:val="0"/>
          <w:sz w:val="32"/>
          <w:szCs w:val="32"/>
          <w:lang w:val="en-US" w:eastAsia="zh-CN" w:bidi="ar-SA"/>
        </w:rPr>
        <w:t>2.进一步加强团队建设，创造良好的学术氛围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我们将采取一系列具体举措，充分利用校内媒体对学术活动进行广泛宣传，推出我校高水平科技成果、高水平科技论文简介，进行其他高校科研动态、国外科技动态等相关信息发布，进一步加强对学术交流、教学团队和科研团队的资助力度，为营造良好的学术氛围做出积极努力。</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
          <w:bCs w:val="0"/>
          <w:color w:val="auto"/>
          <w:kern w:val="0"/>
          <w:sz w:val="32"/>
          <w:szCs w:val="32"/>
          <w:lang w:val="en-US" w:eastAsia="zh-CN" w:bidi="ar-SA"/>
        </w:rPr>
      </w:pPr>
      <w:r>
        <w:rPr>
          <w:rFonts w:hint="eastAsia" w:asciiTheme="minorEastAsia" w:hAnsiTheme="minorEastAsia" w:eastAsiaTheme="minorEastAsia" w:cstheme="minorEastAsia"/>
          <w:b/>
          <w:bCs w:val="0"/>
          <w:color w:val="auto"/>
          <w:kern w:val="0"/>
          <w:sz w:val="32"/>
          <w:szCs w:val="32"/>
          <w:lang w:val="en-US" w:eastAsia="zh-CN" w:bidi="ar-SA"/>
        </w:rPr>
        <w:t>3.进一步凝练学科发展方向，培育学科特色</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lang w:val="en-US" w:eastAsia="zh-CN"/>
        </w:rPr>
      </w:pPr>
      <w:r>
        <w:rPr>
          <w:rFonts w:hint="eastAsia" w:asciiTheme="minorEastAsia" w:hAnsiTheme="minorEastAsia" w:eastAsiaTheme="minorEastAsia" w:cstheme="minorEastAsia"/>
          <w:bCs/>
          <w:kern w:val="2"/>
          <w:sz w:val="32"/>
          <w:szCs w:val="32"/>
          <w:lang w:val="en-US" w:eastAsia="zh-CN" w:bidi="ar-SA"/>
        </w:rPr>
        <w:t>聚焦基础教育发展需求，进一步调整、凝练教育硕士学科发展方向和专业领域。依托学科专业优势，构建以“首席教授”为核心，以科研创新团队为基础，打造科研创新平台。建好基础教育研究所、课程与教学研究所，规划建设“乡村教育发展研究中心”“智慧教育发展研究中心”等省级科研平台。实施“重大科研成果培育计划”，突出对基础教育研究项目的培育和扶持，引导教师积极承担基础教育研究课题。重点瞄准国家和区域教育发展重大战略需求，提高科研扶持和成果奖励力度，大力培育“大项目、大成果、大奖项”，着力打造标志性成果，为推进湖北基础教育事业发展充分发挥引领作用并作出积极贡献。</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Theme="minorEastAsia" w:hAnsiTheme="minorEastAsia" w:eastAsiaTheme="minorEastAsia" w:cstheme="minorEastAsia"/>
          <w:b/>
          <w:bCs w:val="0"/>
          <w:color w:val="auto"/>
          <w:kern w:val="0"/>
          <w:sz w:val="32"/>
          <w:szCs w:val="32"/>
          <w:lang w:val="en-US" w:eastAsia="zh-CN"/>
        </w:rPr>
      </w:pPr>
      <w:r>
        <w:rPr>
          <w:rFonts w:hint="eastAsia" w:asciiTheme="minorEastAsia" w:hAnsiTheme="minorEastAsia" w:eastAsiaTheme="minorEastAsia" w:cstheme="minorEastAsia"/>
          <w:b/>
          <w:bCs w:val="0"/>
          <w:color w:val="auto"/>
          <w:kern w:val="0"/>
          <w:sz w:val="32"/>
          <w:szCs w:val="32"/>
          <w:lang w:val="en-US" w:eastAsia="zh-CN"/>
        </w:rPr>
        <w:t>（二）下一步思路</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1.加强组织领导</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充分发挥院学术委员会在学科建设、学术评价和学术发展中的作用，把学科建设工作作为全局性、战略性任务来抓。加强思想建设，完善二级中心组学习制度，牢牢把握高校意识形态工作的领导权，积极培育和践行社会主义核心价值观，促进师德建设和研究生学风建设。</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2.强化资源配置</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完善规章制度，明确岗位职责，完善激励机制，加强经费使用管理。根据学校管理体制改革方案，对现有分配制度、管理制度进行改革，健全教代会制度和各项规章制度，完善绩效工资分配方案，保证教学、科研、育人工作的全面落实，保证学院各项工作协调可持续发展。</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3.注重绩效评估</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坚持“整体规划、分段实施、动态管理、及时完善”的原则，加强任务分解，明确责任分工，实行规划问责制，建立规划实施信息实时反馈系统，实施年度考核。</w:t>
      </w:r>
    </w:p>
    <w:p>
      <w:pPr>
        <w:keepNext w:val="0"/>
        <w:keepLines w:val="0"/>
        <w:pageBreakBefore w:val="0"/>
        <w:kinsoku/>
        <w:wordWrap/>
        <w:overflowPunct/>
        <w:topLinePunct w:val="0"/>
        <w:autoSpaceDE/>
        <w:autoSpaceDN/>
        <w:bidi w:val="0"/>
        <w:spacing w:after="156" w:afterLines="50" w:line="240" w:lineRule="auto"/>
        <w:rPr>
          <w:rFonts w:hint="eastAsia" w:asciiTheme="minorEastAsia" w:hAnsiTheme="minorEastAsia" w:eastAsiaTheme="minorEastAsia" w:cstheme="minorEastAsia"/>
          <w:sz w:val="32"/>
          <w:szCs w:val="32"/>
          <w:lang w:val="en-US" w:eastAsia="zh-CN"/>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textAlignment w:val="baseline"/>
      <w:rPr>
        <w:rStyle w:val="21"/>
        <w:rFonts w:ascii="Times New Roman" w:hAnsi="Times New Roman" w:eastAsia="宋体"/>
        <w:sz w:val="18"/>
        <w:szCs w:val="18"/>
      </w:rPr>
    </w:pPr>
    <w:r>
      <w:rPr>
        <w:rStyle w:val="21"/>
        <w:rFonts w:ascii="Times New Roman" w:hAnsi="Times New Roman" w:eastAsia="宋体"/>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8255</wp:posOffset>
              </wp:positionV>
              <wp:extent cx="1828800" cy="18288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widowControl/>
                            <w:jc w:val="both"/>
                            <w:textAlignment w:val="baseline"/>
                            <w:rPr>
                              <w:rStyle w:val="21"/>
                              <w:rFonts w:ascii="Times New Roman" w:hAnsi="Times New Roman" w:eastAsia="宋体"/>
                              <w:sz w:val="20"/>
                              <w:szCs w:val="18"/>
                            </w:rPr>
                          </w:pPr>
                        </w:p>
                        <w:p>
                          <w:pPr>
                            <w:textAlignment w:val="baseline"/>
                            <w:rPr>
                              <w:rStyle w:val="21"/>
                              <w:rFonts w:ascii="Times New Roman" w:hAnsi="Times New Roman" w:eastAsia="宋体"/>
                              <w:sz w:val="21"/>
                            </w:rPr>
                          </w:pPr>
                        </w:p>
                      </w:txbxContent>
                    </wps:txbx>
                    <wps:bodyPr lIns="0" tIns="0" rIns="0" bIns="0" upright="1"/>
                  </wps:wsp>
                </a:graphicData>
              </a:graphic>
            </wp:anchor>
          </w:drawing>
        </mc:Choice>
        <mc:Fallback>
          <w:pict>
            <v:shape id="文本框 1" o:spid="_x0000_s1026" o:spt="202" type="#_x0000_t202" style="position:absolute;left:0pt;margin-top:0.65pt;height:144pt;width:144pt;mso-position-horizontal:center;mso-position-horizontal-relative:margin;z-index:251660288;mso-width-relative:page;mso-height-relative:page;" filled="f" stroked="f" coordsize="21600,21600" o:gfxdata="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0eqWU1QAAAAYBAAAPAAAAAAAAAAEAIAAAACIAAABkcnMvZG93bnJldi54bWxQSwEC&#10;FAAUAAAACACHTuJAPY5Ihr4BAAB+AwAADgAAAAAAAAABACAAAAAkAQAAZHJzL2Uyb0RvYy54bWxQ&#10;SwUGAAAAAAYABgBZAQAAVAUAAAAA&#10;">
              <v:fill on="f" focussize="0,0"/>
              <v:stroke on="f" weight="1.25pt"/>
              <v:imagedata o:title=""/>
              <o:lock v:ext="edit" aspectratio="f"/>
              <v:textbox inset="0mm,0mm,0mm,0mm">
                <w:txbxContent>
                  <w:p>
                    <w:pPr>
                      <w:pStyle w:val="8"/>
                      <w:widowControl/>
                      <w:jc w:val="both"/>
                      <w:textAlignment w:val="baseline"/>
                      <w:rPr>
                        <w:rStyle w:val="21"/>
                        <w:rFonts w:ascii="Times New Roman" w:hAnsi="Times New Roman" w:eastAsia="宋体"/>
                        <w:sz w:val="20"/>
                        <w:szCs w:val="18"/>
                      </w:rPr>
                    </w:pPr>
                  </w:p>
                  <w:p>
                    <w:pPr>
                      <w:textAlignment w:val="baseline"/>
                      <w:rPr>
                        <w:rStyle w:val="21"/>
                        <w:rFonts w:ascii="Times New Roman" w:hAnsi="Times New Roman" w:eastAsia="宋体"/>
                        <w:sz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jc w:val="center"/>
      <w:textAlignment w:val="baseline"/>
      <w:rPr>
        <w:rStyle w:val="21"/>
        <w:rFonts w:ascii="Times New Roman" w:hAnsi="Times New Roman"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pPr>
      <w:pStyle w:val="8"/>
      <w:widowControl/>
      <w:jc w:val="center"/>
      <w:textAlignment w:val="baseline"/>
      <w:rPr>
        <w:rStyle w:val="21"/>
        <w:rFonts w:ascii="Times New Roman" w:hAnsi="Times New Roman" w:eastAsia="宋体"/>
        <w:sz w:val="28"/>
        <w:szCs w:val="28"/>
      </w:rPr>
    </w:pPr>
    <w:r>
      <w:rPr>
        <w:rStyle w:val="21"/>
        <w:rFonts w:ascii="Times New Roman" w:hAnsi="Times New Roman" w:eastAsia="宋体"/>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widowControl/>
                            <w:jc w:val="center"/>
                            <w:textAlignment w:val="baseline"/>
                            <w:rPr>
                              <w:rStyle w:val="21"/>
                              <w:rFonts w:ascii="仿宋_GB2312" w:hAnsi="仿宋_GB2312" w:eastAsia="仿宋_GB2312"/>
                              <w:sz w:val="28"/>
                              <w:szCs w:val="28"/>
                            </w:rPr>
                          </w:pPr>
                        </w:p>
                        <w:p>
                          <w:pPr>
                            <w:textAlignment w:val="baseline"/>
                            <w:rPr>
                              <w:rStyle w:val="21"/>
                              <w:rFonts w:ascii="Times New Roman" w:hAnsi="Times New Roman" w:eastAsia="宋体"/>
                              <w:sz w:val="21"/>
                            </w:rPr>
                          </w:pPr>
                        </w:p>
                      </w:txbxContent>
                    </wps:txbx>
                    <wps:bodyPr lIns="0" tIns="0" rIns="0" bIns="0" anchor="t" anchorCtr="0" upright="1"/>
                  </wps:wsp>
                </a:graphicData>
              </a:graphic>
            </wp:anchor>
          </w:drawing>
        </mc:Choice>
        <mc:Fallback>
          <w:pict>
            <v:shape id="文本框 44"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3u45fSAAAABQEAAA8AAAAAAAAAAQAgAAAAIgAAAGRycy9kb3du&#10;cmV2LnhtbFBLAQIUABQAAAAIAIdO4kDLj/eZzAEAAJcDAAAOAAAAAAAAAAEAIAAAACEBAABkcnMv&#10;ZTJvRG9jLnhtbFBLBQYAAAAABgAGAFkBAABfBQAAAAA=&#10;">
              <v:fill on="f" focussize="0,0"/>
              <v:stroke on="f" weight="1.25pt"/>
              <v:imagedata o:title=""/>
              <o:lock v:ext="edit" aspectratio="f"/>
              <v:textbox inset="0mm,0mm,0mm,0mm">
                <w:txbxContent>
                  <w:p>
                    <w:pPr>
                      <w:pStyle w:val="8"/>
                      <w:widowControl/>
                      <w:jc w:val="center"/>
                      <w:textAlignment w:val="baseline"/>
                      <w:rPr>
                        <w:rStyle w:val="21"/>
                        <w:rFonts w:ascii="仿宋_GB2312" w:hAnsi="仿宋_GB2312" w:eastAsia="仿宋_GB2312"/>
                        <w:sz w:val="28"/>
                        <w:szCs w:val="28"/>
                      </w:rPr>
                    </w:pPr>
                  </w:p>
                  <w:p>
                    <w:pPr>
                      <w:textAlignment w:val="baseline"/>
                      <w:rPr>
                        <w:rStyle w:val="21"/>
                        <w:rFonts w:ascii="Times New Roman" w:hAnsi="Times New Roman" w:eastAsia="宋体"/>
                        <w:sz w:val="21"/>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xOWEwYzNjNTI4ZDBjYzNiYmNjODgyMTQyZDI0OTMifQ=="/>
  </w:docVars>
  <w:rsids>
    <w:rsidRoot w:val="00D94DEB"/>
    <w:rsid w:val="0000504C"/>
    <w:rsid w:val="00072396"/>
    <w:rsid w:val="00082791"/>
    <w:rsid w:val="002A2A8F"/>
    <w:rsid w:val="00451F04"/>
    <w:rsid w:val="00702CF9"/>
    <w:rsid w:val="007852C0"/>
    <w:rsid w:val="00824069"/>
    <w:rsid w:val="008619BC"/>
    <w:rsid w:val="00A349CF"/>
    <w:rsid w:val="00A54693"/>
    <w:rsid w:val="00AC2759"/>
    <w:rsid w:val="00D94DEB"/>
    <w:rsid w:val="00DA77BC"/>
    <w:rsid w:val="00E53D40"/>
    <w:rsid w:val="00EF1BE0"/>
    <w:rsid w:val="019B2D60"/>
    <w:rsid w:val="01AF20DF"/>
    <w:rsid w:val="02747EC8"/>
    <w:rsid w:val="02864748"/>
    <w:rsid w:val="03023EB1"/>
    <w:rsid w:val="05235D34"/>
    <w:rsid w:val="05B10B56"/>
    <w:rsid w:val="06A20A39"/>
    <w:rsid w:val="070956AC"/>
    <w:rsid w:val="08D12F00"/>
    <w:rsid w:val="090E0B90"/>
    <w:rsid w:val="0A8E3B4C"/>
    <w:rsid w:val="0ACA0AE6"/>
    <w:rsid w:val="0B3049D6"/>
    <w:rsid w:val="0B692FE1"/>
    <w:rsid w:val="0BB87A82"/>
    <w:rsid w:val="0BC758E6"/>
    <w:rsid w:val="0C404F3F"/>
    <w:rsid w:val="0C480258"/>
    <w:rsid w:val="0CC83522"/>
    <w:rsid w:val="0CD00F0A"/>
    <w:rsid w:val="0D963AA8"/>
    <w:rsid w:val="0DAB5007"/>
    <w:rsid w:val="0DAD54B0"/>
    <w:rsid w:val="0EBD0E70"/>
    <w:rsid w:val="0F156AFC"/>
    <w:rsid w:val="0F712BB6"/>
    <w:rsid w:val="0FA13708"/>
    <w:rsid w:val="102354BF"/>
    <w:rsid w:val="108841B4"/>
    <w:rsid w:val="110F56D2"/>
    <w:rsid w:val="111212B9"/>
    <w:rsid w:val="11C15B6A"/>
    <w:rsid w:val="121A010C"/>
    <w:rsid w:val="12615207"/>
    <w:rsid w:val="12FE0EE4"/>
    <w:rsid w:val="134937EA"/>
    <w:rsid w:val="13F91EE6"/>
    <w:rsid w:val="14075397"/>
    <w:rsid w:val="14BB2679"/>
    <w:rsid w:val="14EE629B"/>
    <w:rsid w:val="16F83C72"/>
    <w:rsid w:val="177D0824"/>
    <w:rsid w:val="17BF03DA"/>
    <w:rsid w:val="195D77BA"/>
    <w:rsid w:val="19B626C9"/>
    <w:rsid w:val="1AA82E72"/>
    <w:rsid w:val="1AE52ED9"/>
    <w:rsid w:val="1AE6726A"/>
    <w:rsid w:val="1B1423F4"/>
    <w:rsid w:val="1B2E4247"/>
    <w:rsid w:val="1BED6A18"/>
    <w:rsid w:val="1CC25C22"/>
    <w:rsid w:val="1D3B0173"/>
    <w:rsid w:val="1D3C0251"/>
    <w:rsid w:val="1DF80E9D"/>
    <w:rsid w:val="1E501745"/>
    <w:rsid w:val="1EDF2918"/>
    <w:rsid w:val="1F0D5668"/>
    <w:rsid w:val="1F9E3AE6"/>
    <w:rsid w:val="204737CE"/>
    <w:rsid w:val="204D63EE"/>
    <w:rsid w:val="20890FEC"/>
    <w:rsid w:val="20C90C4F"/>
    <w:rsid w:val="2157330E"/>
    <w:rsid w:val="218D121D"/>
    <w:rsid w:val="218E5F0B"/>
    <w:rsid w:val="21D52A24"/>
    <w:rsid w:val="22300A8C"/>
    <w:rsid w:val="235804D5"/>
    <w:rsid w:val="24D34421"/>
    <w:rsid w:val="24DD2947"/>
    <w:rsid w:val="251E6B56"/>
    <w:rsid w:val="256909C6"/>
    <w:rsid w:val="27000148"/>
    <w:rsid w:val="27A929FE"/>
    <w:rsid w:val="27C3052B"/>
    <w:rsid w:val="28987337"/>
    <w:rsid w:val="29515AD8"/>
    <w:rsid w:val="29B703F6"/>
    <w:rsid w:val="2A054BAE"/>
    <w:rsid w:val="2AFA56A8"/>
    <w:rsid w:val="2BC62096"/>
    <w:rsid w:val="2C21126A"/>
    <w:rsid w:val="2C743EFD"/>
    <w:rsid w:val="2C752F1C"/>
    <w:rsid w:val="2CAA4C9B"/>
    <w:rsid w:val="2CC91DBF"/>
    <w:rsid w:val="2DC90F48"/>
    <w:rsid w:val="2EFA0C9D"/>
    <w:rsid w:val="2F3F1A0F"/>
    <w:rsid w:val="2F772127"/>
    <w:rsid w:val="30FA2E2C"/>
    <w:rsid w:val="31311FDF"/>
    <w:rsid w:val="318B0425"/>
    <w:rsid w:val="31CF58DE"/>
    <w:rsid w:val="320B1B26"/>
    <w:rsid w:val="32AA66C8"/>
    <w:rsid w:val="332B3BD5"/>
    <w:rsid w:val="33CF4F29"/>
    <w:rsid w:val="33D83D93"/>
    <w:rsid w:val="34911000"/>
    <w:rsid w:val="3669730D"/>
    <w:rsid w:val="36AB5018"/>
    <w:rsid w:val="3706437E"/>
    <w:rsid w:val="380E0280"/>
    <w:rsid w:val="38147E3B"/>
    <w:rsid w:val="389445F5"/>
    <w:rsid w:val="389D0C80"/>
    <w:rsid w:val="3AEE026C"/>
    <w:rsid w:val="3B023F95"/>
    <w:rsid w:val="3B857ED9"/>
    <w:rsid w:val="3B9B0C14"/>
    <w:rsid w:val="3D7F1528"/>
    <w:rsid w:val="3D9B21BA"/>
    <w:rsid w:val="3EE83FF7"/>
    <w:rsid w:val="3F40671A"/>
    <w:rsid w:val="3FEE08F8"/>
    <w:rsid w:val="41A3470E"/>
    <w:rsid w:val="41FF4827"/>
    <w:rsid w:val="425B4017"/>
    <w:rsid w:val="43673D14"/>
    <w:rsid w:val="43E04937"/>
    <w:rsid w:val="44173ECB"/>
    <w:rsid w:val="44421984"/>
    <w:rsid w:val="44A44BC4"/>
    <w:rsid w:val="44AD2E0D"/>
    <w:rsid w:val="45700C35"/>
    <w:rsid w:val="45A450E1"/>
    <w:rsid w:val="46C035F8"/>
    <w:rsid w:val="46D13BFA"/>
    <w:rsid w:val="46F07551"/>
    <w:rsid w:val="475C730E"/>
    <w:rsid w:val="47677069"/>
    <w:rsid w:val="48834564"/>
    <w:rsid w:val="49116808"/>
    <w:rsid w:val="495463DF"/>
    <w:rsid w:val="49873652"/>
    <w:rsid w:val="49C13A62"/>
    <w:rsid w:val="4A4F5A8D"/>
    <w:rsid w:val="4A5A7342"/>
    <w:rsid w:val="4CAC45D0"/>
    <w:rsid w:val="4CBE3211"/>
    <w:rsid w:val="4CE9401D"/>
    <w:rsid w:val="4D7D7DB9"/>
    <w:rsid w:val="4E64783D"/>
    <w:rsid w:val="4F6F084A"/>
    <w:rsid w:val="508213F3"/>
    <w:rsid w:val="51BE544C"/>
    <w:rsid w:val="51EC4DD7"/>
    <w:rsid w:val="52610E84"/>
    <w:rsid w:val="526E1E56"/>
    <w:rsid w:val="52787F19"/>
    <w:rsid w:val="52A33792"/>
    <w:rsid w:val="5338480E"/>
    <w:rsid w:val="55AA3D9E"/>
    <w:rsid w:val="55B31481"/>
    <w:rsid w:val="562166FF"/>
    <w:rsid w:val="5651119B"/>
    <w:rsid w:val="56D2190B"/>
    <w:rsid w:val="56E90240"/>
    <w:rsid w:val="57A23368"/>
    <w:rsid w:val="57EF7F46"/>
    <w:rsid w:val="58815E06"/>
    <w:rsid w:val="58E45155"/>
    <w:rsid w:val="5AEB09A5"/>
    <w:rsid w:val="5B100931"/>
    <w:rsid w:val="5B3F1D9F"/>
    <w:rsid w:val="5C0F46A8"/>
    <w:rsid w:val="5C192E9F"/>
    <w:rsid w:val="5EC47139"/>
    <w:rsid w:val="5F830EBF"/>
    <w:rsid w:val="602C167B"/>
    <w:rsid w:val="603A3E1B"/>
    <w:rsid w:val="60B33BCE"/>
    <w:rsid w:val="60DF21E1"/>
    <w:rsid w:val="62206267"/>
    <w:rsid w:val="656373A6"/>
    <w:rsid w:val="659F2553"/>
    <w:rsid w:val="66D23134"/>
    <w:rsid w:val="66EF4E57"/>
    <w:rsid w:val="676A62FC"/>
    <w:rsid w:val="67A4342A"/>
    <w:rsid w:val="67E22CE0"/>
    <w:rsid w:val="68270B89"/>
    <w:rsid w:val="689D44AF"/>
    <w:rsid w:val="694A4A38"/>
    <w:rsid w:val="69732262"/>
    <w:rsid w:val="69760FC2"/>
    <w:rsid w:val="6A215794"/>
    <w:rsid w:val="6AAB5A90"/>
    <w:rsid w:val="6B50364B"/>
    <w:rsid w:val="6C160F2C"/>
    <w:rsid w:val="6C2779FF"/>
    <w:rsid w:val="6D322756"/>
    <w:rsid w:val="6D485437"/>
    <w:rsid w:val="6DDD0CB5"/>
    <w:rsid w:val="6E995A95"/>
    <w:rsid w:val="6EA2262A"/>
    <w:rsid w:val="6F4F6B28"/>
    <w:rsid w:val="6F877B87"/>
    <w:rsid w:val="713A2CFE"/>
    <w:rsid w:val="716C7F41"/>
    <w:rsid w:val="71BE6285"/>
    <w:rsid w:val="7229607F"/>
    <w:rsid w:val="72604F90"/>
    <w:rsid w:val="72BC569D"/>
    <w:rsid w:val="73D25D6E"/>
    <w:rsid w:val="740B40E6"/>
    <w:rsid w:val="744832CA"/>
    <w:rsid w:val="74683766"/>
    <w:rsid w:val="75187F78"/>
    <w:rsid w:val="75392737"/>
    <w:rsid w:val="754E378A"/>
    <w:rsid w:val="75D7090C"/>
    <w:rsid w:val="768C5692"/>
    <w:rsid w:val="770E7E8B"/>
    <w:rsid w:val="77260526"/>
    <w:rsid w:val="77327130"/>
    <w:rsid w:val="7759387B"/>
    <w:rsid w:val="77B72634"/>
    <w:rsid w:val="77E241C0"/>
    <w:rsid w:val="77F40DE4"/>
    <w:rsid w:val="7A9039B5"/>
    <w:rsid w:val="7A945836"/>
    <w:rsid w:val="7AC40AAF"/>
    <w:rsid w:val="7AF721A5"/>
    <w:rsid w:val="7B273212"/>
    <w:rsid w:val="7BBC67DB"/>
    <w:rsid w:val="7C350DF1"/>
    <w:rsid w:val="7DD37E5E"/>
    <w:rsid w:val="7E637C8C"/>
    <w:rsid w:val="7E956A58"/>
    <w:rsid w:val="7FB31700"/>
    <w:rsid w:val="7FD0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简体" w:asciiTheme="minorHAnsi" w:hAnsiTheme="minorHAnsi" w:cstheme="minorBidi"/>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2">
    <w:name w:val="heading 3"/>
    <w:basedOn w:val="1"/>
    <w:next w:val="1"/>
    <w:qFormat/>
    <w:uiPriority w:val="9"/>
    <w:pPr>
      <w:spacing w:line="600" w:lineRule="exact"/>
      <w:ind w:firstLine="640" w:firstLineChars="200"/>
      <w:outlineLvl w:val="2"/>
    </w:pPr>
    <w:rPr>
      <w:rFonts w:ascii="黑体" w:hAnsi="黑体" w:eastAsia="黑体"/>
      <w:color w:val="000000"/>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unhideWhenUsed/>
    <w:qFormat/>
    <w:uiPriority w:val="0"/>
    <w:rPr>
      <w:rFonts w:ascii="Calibri" w:hAnsi="Calibri"/>
      <w:sz w:val="20"/>
      <w:szCs w:val="20"/>
    </w:rPr>
  </w:style>
  <w:style w:type="paragraph" w:styleId="5">
    <w:name w:val="Body Text"/>
    <w:basedOn w:val="1"/>
    <w:unhideWhenUsed/>
    <w:qFormat/>
    <w:uiPriority w:val="99"/>
    <w:rPr>
      <w:sz w:val="28"/>
      <w:szCs w:val="20"/>
    </w:rPr>
  </w:style>
  <w:style w:type="paragraph" w:styleId="6">
    <w:name w:val="Body Text Indent"/>
    <w:basedOn w:val="1"/>
    <w:unhideWhenUsed/>
    <w:qFormat/>
    <w:uiPriority w:val="99"/>
    <w:pPr>
      <w:spacing w:after="120"/>
      <w:ind w:left="420" w:leftChars="200"/>
    </w:pPr>
  </w:style>
  <w:style w:type="paragraph" w:styleId="7">
    <w:name w:val="Plain Text"/>
    <w:basedOn w:val="1"/>
    <w:qFormat/>
    <w:uiPriority w:val="99"/>
    <w:rPr>
      <w:rFonts w:ascii="宋体" w:hAnsi="Courier New" w:eastAsia="宋体" w:cs="Times New Roman"/>
      <w:kern w:val="0"/>
      <w:sz w:val="20"/>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2"/>
    <w:basedOn w:val="6"/>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basedOn w:val="14"/>
    <w:qFormat/>
    <w:uiPriority w:val="0"/>
  </w:style>
  <w:style w:type="character" w:styleId="17">
    <w:name w:val="FollowedHyperlink"/>
    <w:basedOn w:val="14"/>
    <w:qFormat/>
    <w:uiPriority w:val="0"/>
    <w:rPr>
      <w:color w:val="800080"/>
      <w:u w:val="none"/>
    </w:rPr>
  </w:style>
  <w:style w:type="character" w:styleId="18">
    <w:name w:val="Hyperlink"/>
    <w:basedOn w:val="14"/>
    <w:qFormat/>
    <w:uiPriority w:val="0"/>
    <w:rPr>
      <w:color w:val="0000FF"/>
      <w:u w:val="none"/>
    </w:rPr>
  </w:style>
  <w:style w:type="character" w:customStyle="1" w:styleId="19">
    <w:name w:val="hover21"/>
    <w:basedOn w:val="14"/>
    <w:qFormat/>
    <w:uiPriority w:val="0"/>
    <w:rPr>
      <w:color w:val="557EE7"/>
    </w:rPr>
  </w:style>
  <w:style w:type="paragraph" w:customStyle="1" w:styleId="20">
    <w:name w:val="彩色列表 - 强调文字颜色 11"/>
    <w:basedOn w:val="1"/>
    <w:qFormat/>
    <w:uiPriority w:val="0"/>
    <w:pPr>
      <w:ind w:firstLine="420" w:firstLineChars="200"/>
    </w:pPr>
    <w:rPr>
      <w:rFonts w:ascii="Cambria" w:hAnsi="Cambria"/>
      <w:szCs w:val="22"/>
    </w:rPr>
  </w:style>
  <w:style w:type="character" w:customStyle="1" w:styleId="21">
    <w:name w:val="NormalCharacter"/>
    <w:semiHidden/>
    <w:qFormat/>
    <w:uiPriority w:val="0"/>
    <w:rPr>
      <w:rFonts w:eastAsia="方正仿宋简体" w:asciiTheme="minorHAnsi" w:hAnsiTheme="minorHAnsi" w:cstheme="minorBidi"/>
      <w:kern w:val="2"/>
      <w:sz w:val="32"/>
      <w:szCs w:val="24"/>
      <w:lang w:val="en-US" w:eastAsia="zh-CN" w:bidi="ar-SA"/>
    </w:rPr>
  </w:style>
  <w:style w:type="paragraph" w:customStyle="1" w:styleId="22">
    <w:name w:val="Heading3"/>
    <w:basedOn w:val="1"/>
    <w:next w:val="1"/>
    <w:qFormat/>
    <w:uiPriority w:val="0"/>
    <w:pPr>
      <w:spacing w:line="600" w:lineRule="exact"/>
      <w:ind w:firstLine="640" w:firstLineChars="200"/>
      <w:textAlignment w:val="baseline"/>
    </w:pPr>
    <w:rPr>
      <w:rFonts w:ascii="黑体" w:hAnsi="黑体" w:eastAsia="黑体"/>
      <w:color w:val="00000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7935</Words>
  <Characters>8117</Characters>
  <Lines>2</Lines>
  <Paragraphs>1</Paragraphs>
  <TotalTime>8</TotalTime>
  <ScaleCrop>false</ScaleCrop>
  <LinksUpToDate>false</LinksUpToDate>
  <CharactersWithSpaces>8126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2021-01-15T05:44:00Z</dcterms:created>
  <dc:creator>XWB</dc:creator>
  <cp:lastModifiedBy>danling</cp:lastModifiedBy>
  <cp:lastPrinted>2022-11-11T02:50:00Z</cp:lastPrinted>
  <dcterms:modified xsi:type="dcterms:W3CDTF">2022-12-12T08:36:32Z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F60C3D3D45F54947A27BF729EC77946E</vt:lpwstr>
  </property>
</Properties>
</file>